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2A6" w:rsidRPr="000922CC" w:rsidRDefault="008D52A6" w:rsidP="008D52A6">
      <w:pPr>
        <w:ind w:rightChars="-14" w:right="-29"/>
        <w:jc w:val="center"/>
        <w:rPr>
          <w:rFonts w:hint="eastAsia"/>
          <w:b/>
          <w:bCs/>
          <w:sz w:val="28"/>
          <w:szCs w:val="28"/>
        </w:rPr>
      </w:pPr>
      <w:bookmarkStart w:id="0" w:name="_GoBack"/>
      <w:r w:rsidRPr="000922CC">
        <w:rPr>
          <w:rFonts w:hint="eastAsia"/>
          <w:b/>
          <w:bCs/>
          <w:sz w:val="28"/>
          <w:szCs w:val="28"/>
        </w:rPr>
        <w:t>云南煤化工集团有限公司拟以股权作价出资所涉及的</w:t>
      </w:r>
    </w:p>
    <w:p w:rsidR="008D52A6" w:rsidRPr="000922CC" w:rsidRDefault="008D52A6" w:rsidP="008D52A6">
      <w:pPr>
        <w:ind w:rightChars="-14" w:right="-29"/>
        <w:jc w:val="center"/>
        <w:rPr>
          <w:b/>
          <w:bCs/>
          <w:sz w:val="28"/>
          <w:szCs w:val="28"/>
        </w:rPr>
      </w:pPr>
      <w:r w:rsidRPr="000922CC">
        <w:rPr>
          <w:rFonts w:hint="eastAsia"/>
          <w:b/>
          <w:bCs/>
          <w:sz w:val="28"/>
          <w:szCs w:val="28"/>
        </w:rPr>
        <w:t>云南东源煤电股份有限公司股东全部权益价值评估项目</w:t>
      </w:r>
    </w:p>
    <w:p w:rsidR="008D52A6" w:rsidRPr="00DB796D" w:rsidRDefault="008D52A6" w:rsidP="008D52A6">
      <w:pPr>
        <w:ind w:rightChars="-14" w:right="-29"/>
        <w:jc w:val="center"/>
        <w:rPr>
          <w:b/>
          <w:sz w:val="36"/>
          <w:szCs w:val="36"/>
        </w:rPr>
      </w:pPr>
      <w:r w:rsidRPr="00DB796D">
        <w:rPr>
          <w:b/>
          <w:sz w:val="40"/>
          <w:szCs w:val="40"/>
        </w:rPr>
        <w:t>资产评估报告</w:t>
      </w:r>
      <w:r w:rsidRPr="00DB796D">
        <w:rPr>
          <w:b/>
          <w:sz w:val="36"/>
          <w:szCs w:val="36"/>
        </w:rPr>
        <w:t>摘要</w:t>
      </w:r>
      <w:bookmarkEnd w:id="0"/>
    </w:p>
    <w:p w:rsidR="008D52A6" w:rsidRDefault="008D52A6" w:rsidP="008D52A6">
      <w:pPr>
        <w:pStyle w:val="a3"/>
        <w:spacing w:line="360" w:lineRule="auto"/>
        <w:ind w:firstLineChars="200" w:firstLine="480"/>
        <w:rPr>
          <w:rFonts w:ascii="Times New Roman"/>
          <w:sz w:val="24"/>
        </w:rPr>
      </w:pPr>
      <w:r w:rsidRPr="00D91118">
        <w:rPr>
          <w:rFonts w:ascii="Times New Roman"/>
          <w:sz w:val="24"/>
        </w:rPr>
        <w:t>评估目的：</w:t>
      </w:r>
      <w:bookmarkStart w:id="1" w:name="_Hlk27084304"/>
      <w:r>
        <w:rPr>
          <w:rFonts w:ascii="Times New Roman" w:hint="eastAsia"/>
          <w:sz w:val="24"/>
        </w:rPr>
        <w:t>云南煤化工集团有限公司拟以股权作价出资，需对该事宜所涉及的云南东源煤电股份有限公司股东全部权益价值进行评估，</w:t>
      </w:r>
      <w:r w:rsidRPr="00D91118">
        <w:rPr>
          <w:rFonts w:ascii="Times New Roman"/>
          <w:sz w:val="24"/>
        </w:rPr>
        <w:t>为上述经济行为提供价值参考依据</w:t>
      </w:r>
      <w:r>
        <w:rPr>
          <w:rFonts w:ascii="Times New Roman" w:hint="eastAsia"/>
          <w:sz w:val="24"/>
        </w:rPr>
        <w:t>。</w:t>
      </w:r>
    </w:p>
    <w:bookmarkEnd w:id="1"/>
    <w:p w:rsidR="008D52A6" w:rsidRPr="00D91118" w:rsidRDefault="008D52A6" w:rsidP="008D52A6">
      <w:pPr>
        <w:pStyle w:val="a3"/>
        <w:spacing w:line="360" w:lineRule="auto"/>
        <w:ind w:firstLineChars="200" w:firstLine="480"/>
        <w:rPr>
          <w:rFonts w:ascii="Times New Roman"/>
          <w:sz w:val="24"/>
        </w:rPr>
      </w:pPr>
      <w:r w:rsidRPr="00D91118">
        <w:rPr>
          <w:rFonts w:ascii="Times New Roman"/>
          <w:sz w:val="24"/>
        </w:rPr>
        <w:t>评估对象：</w:t>
      </w:r>
      <w:r>
        <w:rPr>
          <w:rFonts w:ascii="Times New Roman"/>
          <w:sz w:val="24"/>
        </w:rPr>
        <w:t>云南东源煤电股份有限公司</w:t>
      </w:r>
      <w:r w:rsidRPr="00D91118">
        <w:rPr>
          <w:rFonts w:ascii="Times New Roman"/>
          <w:sz w:val="24"/>
        </w:rPr>
        <w:t>的股东全部权益。</w:t>
      </w:r>
    </w:p>
    <w:p w:rsidR="008D52A6" w:rsidRPr="00D91118" w:rsidRDefault="008D52A6" w:rsidP="008D52A6">
      <w:pPr>
        <w:pStyle w:val="a3"/>
        <w:spacing w:line="360" w:lineRule="auto"/>
        <w:ind w:firstLineChars="200" w:firstLine="480"/>
        <w:rPr>
          <w:rFonts w:ascii="Times New Roman"/>
          <w:sz w:val="24"/>
        </w:rPr>
      </w:pPr>
      <w:r w:rsidRPr="00D91118">
        <w:rPr>
          <w:rFonts w:ascii="Times New Roman"/>
          <w:sz w:val="24"/>
        </w:rPr>
        <w:t>评估范围：</w:t>
      </w:r>
      <w:r>
        <w:rPr>
          <w:rFonts w:ascii="Times New Roman"/>
          <w:sz w:val="24"/>
        </w:rPr>
        <w:t>云南东源煤电股份有限公司</w:t>
      </w:r>
      <w:r w:rsidRPr="00D91118">
        <w:rPr>
          <w:rFonts w:ascii="Times New Roman"/>
          <w:sz w:val="24"/>
        </w:rPr>
        <w:t>的全部资产及负债，包括流动资产、长期股权投资、固定资产、在建工程、无形资产</w:t>
      </w:r>
      <w:r>
        <w:rPr>
          <w:rFonts w:ascii="Times New Roman" w:hint="eastAsia"/>
          <w:sz w:val="24"/>
        </w:rPr>
        <w:t>、其他非流动资产、</w:t>
      </w:r>
      <w:r w:rsidRPr="00D91118">
        <w:rPr>
          <w:rFonts w:ascii="Times New Roman"/>
          <w:sz w:val="24"/>
        </w:rPr>
        <w:t>流动负债和非流动负债。</w:t>
      </w:r>
    </w:p>
    <w:p w:rsidR="008D52A6" w:rsidRPr="00D91118" w:rsidRDefault="008D52A6" w:rsidP="008D52A6">
      <w:pPr>
        <w:pStyle w:val="a3"/>
        <w:spacing w:line="360" w:lineRule="auto"/>
        <w:ind w:firstLineChars="200" w:firstLine="480"/>
        <w:rPr>
          <w:rFonts w:ascii="Times New Roman"/>
          <w:sz w:val="24"/>
        </w:rPr>
      </w:pPr>
      <w:r w:rsidRPr="00D91118">
        <w:rPr>
          <w:rFonts w:ascii="Times New Roman"/>
          <w:sz w:val="24"/>
        </w:rPr>
        <w:t>评估基准日：</w:t>
      </w:r>
      <w:r w:rsidRPr="00D91118">
        <w:rPr>
          <w:rFonts w:ascii="Times New Roman"/>
          <w:sz w:val="24"/>
        </w:rPr>
        <w:t>201</w:t>
      </w:r>
      <w:r>
        <w:rPr>
          <w:rFonts w:ascii="Times New Roman"/>
          <w:sz w:val="24"/>
        </w:rPr>
        <w:t>9</w:t>
      </w:r>
      <w:r w:rsidRPr="00D91118">
        <w:rPr>
          <w:rFonts w:ascii="Times New Roman"/>
          <w:sz w:val="24"/>
        </w:rPr>
        <w:t>年</w:t>
      </w:r>
      <w:r>
        <w:rPr>
          <w:rFonts w:ascii="Times New Roman"/>
          <w:sz w:val="24"/>
        </w:rPr>
        <w:t>9</w:t>
      </w:r>
      <w:r w:rsidRPr="00D91118">
        <w:rPr>
          <w:rFonts w:ascii="Times New Roman"/>
          <w:sz w:val="24"/>
        </w:rPr>
        <w:t>月</w:t>
      </w:r>
      <w:r w:rsidRPr="00D91118">
        <w:rPr>
          <w:rFonts w:ascii="Times New Roman"/>
          <w:sz w:val="24"/>
        </w:rPr>
        <w:t>3</w:t>
      </w:r>
      <w:r>
        <w:rPr>
          <w:rFonts w:ascii="Times New Roman"/>
          <w:sz w:val="24"/>
        </w:rPr>
        <w:t>0</w:t>
      </w:r>
      <w:r w:rsidRPr="00D91118">
        <w:rPr>
          <w:rFonts w:ascii="Times New Roman"/>
          <w:sz w:val="24"/>
        </w:rPr>
        <w:t>日。</w:t>
      </w:r>
    </w:p>
    <w:p w:rsidR="008D52A6" w:rsidRPr="00D91118" w:rsidRDefault="008D52A6" w:rsidP="008D52A6">
      <w:pPr>
        <w:pStyle w:val="a3"/>
        <w:spacing w:line="360" w:lineRule="auto"/>
        <w:ind w:firstLineChars="200" w:firstLine="480"/>
        <w:rPr>
          <w:rFonts w:ascii="Times New Roman"/>
          <w:sz w:val="24"/>
        </w:rPr>
      </w:pPr>
      <w:r w:rsidRPr="00D91118">
        <w:rPr>
          <w:rFonts w:ascii="Times New Roman"/>
          <w:sz w:val="24"/>
        </w:rPr>
        <w:t>价值类型：市场价值</w:t>
      </w:r>
      <w:r w:rsidRPr="00D91118">
        <w:rPr>
          <w:rFonts w:ascii="Times New Roman" w:hint="eastAsia"/>
          <w:sz w:val="24"/>
        </w:rPr>
        <w:t>。</w:t>
      </w:r>
    </w:p>
    <w:p w:rsidR="008D52A6" w:rsidRPr="00D91118" w:rsidRDefault="008D52A6" w:rsidP="008D52A6">
      <w:pPr>
        <w:pStyle w:val="a3"/>
        <w:spacing w:line="360" w:lineRule="auto"/>
        <w:ind w:firstLineChars="200" w:firstLine="480"/>
        <w:rPr>
          <w:rFonts w:ascii="Times New Roman"/>
          <w:sz w:val="24"/>
        </w:rPr>
      </w:pPr>
      <w:r w:rsidRPr="00D91118">
        <w:rPr>
          <w:rFonts w:ascii="Times New Roman"/>
          <w:sz w:val="24"/>
        </w:rPr>
        <w:t>评估方法：资产基础法</w:t>
      </w:r>
      <w:r w:rsidRPr="00D91118">
        <w:rPr>
          <w:rFonts w:ascii="Times New Roman" w:hint="eastAsia"/>
          <w:sz w:val="24"/>
        </w:rPr>
        <w:t>。</w:t>
      </w:r>
    </w:p>
    <w:p w:rsidR="008D52A6" w:rsidRPr="00D91118" w:rsidRDefault="008D52A6" w:rsidP="008D52A6">
      <w:pPr>
        <w:pStyle w:val="a3"/>
        <w:spacing w:line="360" w:lineRule="auto"/>
        <w:ind w:firstLineChars="200" w:firstLine="480"/>
        <w:rPr>
          <w:rFonts w:ascii="Times New Roman"/>
          <w:sz w:val="24"/>
        </w:rPr>
      </w:pPr>
      <w:r w:rsidRPr="00D91118">
        <w:rPr>
          <w:rFonts w:ascii="Times New Roman"/>
          <w:sz w:val="24"/>
        </w:rPr>
        <w:t>评估结论：本资产评估报告选用资产基础法评估结果作为评估结论。具体结论如下：</w:t>
      </w:r>
    </w:p>
    <w:p w:rsidR="008D52A6" w:rsidRPr="00D91118" w:rsidRDefault="008D52A6" w:rsidP="008D52A6">
      <w:pPr>
        <w:spacing w:before="120" w:after="120"/>
        <w:jc w:val="center"/>
        <w:rPr>
          <w:sz w:val="28"/>
        </w:rPr>
      </w:pPr>
      <w:r w:rsidRPr="00D91118">
        <w:rPr>
          <w:b/>
          <w:bCs/>
          <w:sz w:val="24"/>
        </w:rPr>
        <w:t>资产评估结果汇总表</w:t>
      </w:r>
    </w:p>
    <w:p w:rsidR="008D52A6" w:rsidRDefault="008D52A6" w:rsidP="008D52A6">
      <w:pPr>
        <w:ind w:right="210"/>
        <w:jc w:val="right"/>
        <w:rPr>
          <w:szCs w:val="21"/>
        </w:rPr>
      </w:pPr>
      <w:r w:rsidRPr="00D91118">
        <w:rPr>
          <w:szCs w:val="21"/>
        </w:rPr>
        <w:t>金额单位：人民币万元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1656"/>
        <w:gridCol w:w="396"/>
        <w:gridCol w:w="1373"/>
        <w:gridCol w:w="1373"/>
        <w:gridCol w:w="1374"/>
        <w:gridCol w:w="1374"/>
      </w:tblGrid>
      <w:tr w:rsidR="008D52A6" w:rsidRPr="00FE16A7" w:rsidTr="008F2D41">
        <w:trPr>
          <w:trHeight w:val="332"/>
          <w:tblHeader/>
        </w:trPr>
        <w:tc>
          <w:tcPr>
            <w:tcW w:w="1540" w:type="pct"/>
            <w:gridSpan w:val="3"/>
            <w:vMerge w:val="restart"/>
            <w:shd w:val="clear" w:color="auto" w:fill="auto"/>
            <w:vAlign w:val="center"/>
            <w:hideMark/>
          </w:tcPr>
          <w:p w:rsidR="008D52A6" w:rsidRPr="00FE16A7" w:rsidRDefault="008D52A6" w:rsidP="008F2D41">
            <w:pPr>
              <w:widowControl/>
              <w:jc w:val="center"/>
              <w:rPr>
                <w:b/>
                <w:bCs/>
                <w:kern w:val="0"/>
                <w:sz w:val="18"/>
                <w:szCs w:val="18"/>
              </w:rPr>
            </w:pPr>
            <w:r w:rsidRPr="00FE16A7">
              <w:rPr>
                <w:rFonts w:ascii="宋体" w:hAnsi="宋体" w:hint="eastAsia"/>
                <w:b/>
                <w:bCs/>
                <w:kern w:val="0"/>
                <w:sz w:val="18"/>
                <w:szCs w:val="18"/>
              </w:rPr>
              <w:t>项</w:t>
            </w:r>
            <w:r w:rsidRPr="00FE16A7">
              <w:rPr>
                <w:b/>
                <w:bCs/>
                <w:kern w:val="0"/>
                <w:sz w:val="18"/>
                <w:szCs w:val="18"/>
              </w:rPr>
              <w:t xml:space="preserve">      </w:t>
            </w:r>
            <w:r w:rsidRPr="00FE16A7">
              <w:rPr>
                <w:rFonts w:ascii="宋体" w:hAnsi="宋体" w:hint="eastAsia"/>
                <w:b/>
                <w:bCs/>
                <w:kern w:val="0"/>
                <w:sz w:val="18"/>
                <w:szCs w:val="18"/>
              </w:rPr>
              <w:t>目</w:t>
            </w:r>
          </w:p>
        </w:tc>
        <w:tc>
          <w:tcPr>
            <w:tcW w:w="865" w:type="pct"/>
            <w:shd w:val="clear" w:color="auto" w:fill="auto"/>
            <w:vAlign w:val="center"/>
            <w:hideMark/>
          </w:tcPr>
          <w:p w:rsidR="008D52A6" w:rsidRPr="00FE16A7" w:rsidRDefault="008D52A6" w:rsidP="008F2D41">
            <w:pPr>
              <w:widowControl/>
              <w:jc w:val="center"/>
              <w:rPr>
                <w:b/>
                <w:bCs/>
                <w:kern w:val="0"/>
                <w:sz w:val="18"/>
                <w:szCs w:val="18"/>
              </w:rPr>
            </w:pPr>
            <w:r w:rsidRPr="00FE16A7">
              <w:rPr>
                <w:rFonts w:ascii="宋体" w:hAnsi="宋体" w:hint="eastAsia"/>
                <w:b/>
                <w:bCs/>
                <w:kern w:val="0"/>
                <w:sz w:val="18"/>
                <w:szCs w:val="18"/>
              </w:rPr>
              <w:t>账面净值</w:t>
            </w:r>
          </w:p>
        </w:tc>
        <w:tc>
          <w:tcPr>
            <w:tcW w:w="865" w:type="pct"/>
            <w:shd w:val="clear" w:color="auto" w:fill="auto"/>
            <w:vAlign w:val="center"/>
            <w:hideMark/>
          </w:tcPr>
          <w:p w:rsidR="008D52A6" w:rsidRPr="00FE16A7" w:rsidRDefault="008D52A6" w:rsidP="008F2D41">
            <w:pPr>
              <w:widowControl/>
              <w:jc w:val="center"/>
              <w:rPr>
                <w:b/>
                <w:bCs/>
                <w:kern w:val="0"/>
                <w:sz w:val="18"/>
                <w:szCs w:val="18"/>
              </w:rPr>
            </w:pPr>
            <w:r w:rsidRPr="00FE16A7">
              <w:rPr>
                <w:rFonts w:ascii="宋体" w:hAnsi="宋体" w:hint="eastAsia"/>
                <w:b/>
                <w:bCs/>
                <w:kern w:val="0"/>
                <w:sz w:val="18"/>
                <w:szCs w:val="18"/>
              </w:rPr>
              <w:t>评估价值</w:t>
            </w:r>
          </w:p>
        </w:tc>
        <w:tc>
          <w:tcPr>
            <w:tcW w:w="865" w:type="pct"/>
            <w:shd w:val="clear" w:color="auto" w:fill="auto"/>
            <w:vAlign w:val="center"/>
            <w:hideMark/>
          </w:tcPr>
          <w:p w:rsidR="008D52A6" w:rsidRPr="00FE16A7" w:rsidRDefault="008D52A6" w:rsidP="008F2D41">
            <w:pPr>
              <w:widowControl/>
              <w:jc w:val="center"/>
              <w:rPr>
                <w:b/>
                <w:bCs/>
                <w:kern w:val="0"/>
                <w:sz w:val="18"/>
                <w:szCs w:val="18"/>
              </w:rPr>
            </w:pPr>
            <w:r w:rsidRPr="00FE16A7">
              <w:rPr>
                <w:rFonts w:ascii="宋体" w:hAnsi="宋体" w:hint="eastAsia"/>
                <w:b/>
                <w:bCs/>
                <w:kern w:val="0"/>
                <w:sz w:val="18"/>
                <w:szCs w:val="18"/>
              </w:rPr>
              <w:t>增减值</w:t>
            </w:r>
          </w:p>
        </w:tc>
        <w:tc>
          <w:tcPr>
            <w:tcW w:w="865" w:type="pct"/>
            <w:shd w:val="clear" w:color="auto" w:fill="auto"/>
            <w:vAlign w:val="center"/>
            <w:hideMark/>
          </w:tcPr>
          <w:p w:rsidR="008D52A6" w:rsidRPr="00FE16A7" w:rsidRDefault="008D52A6" w:rsidP="008F2D41">
            <w:pPr>
              <w:widowControl/>
              <w:jc w:val="center"/>
              <w:rPr>
                <w:b/>
                <w:bCs/>
                <w:kern w:val="0"/>
                <w:sz w:val="18"/>
                <w:szCs w:val="18"/>
              </w:rPr>
            </w:pPr>
            <w:r w:rsidRPr="00FE16A7">
              <w:rPr>
                <w:rFonts w:ascii="宋体" w:hAnsi="宋体" w:hint="eastAsia"/>
                <w:b/>
                <w:bCs/>
                <w:kern w:val="0"/>
                <w:sz w:val="18"/>
                <w:szCs w:val="18"/>
              </w:rPr>
              <w:t>增值率</w:t>
            </w:r>
            <w:r w:rsidRPr="00FE16A7">
              <w:rPr>
                <w:b/>
                <w:bCs/>
                <w:kern w:val="0"/>
                <w:sz w:val="18"/>
                <w:szCs w:val="18"/>
              </w:rPr>
              <w:t>%</w:t>
            </w:r>
          </w:p>
        </w:tc>
      </w:tr>
      <w:tr w:rsidR="008D52A6" w:rsidRPr="00FE16A7" w:rsidTr="008F2D41">
        <w:trPr>
          <w:trHeight w:val="332"/>
          <w:tblHeader/>
        </w:trPr>
        <w:tc>
          <w:tcPr>
            <w:tcW w:w="1540" w:type="pct"/>
            <w:gridSpan w:val="3"/>
            <w:vMerge/>
            <w:vAlign w:val="center"/>
            <w:hideMark/>
          </w:tcPr>
          <w:p w:rsidR="008D52A6" w:rsidRPr="00FE16A7" w:rsidRDefault="008D52A6" w:rsidP="008F2D41">
            <w:pPr>
              <w:widowControl/>
              <w:jc w:val="left"/>
              <w:rPr>
                <w:b/>
                <w:bCs/>
                <w:kern w:val="0"/>
                <w:sz w:val="18"/>
                <w:szCs w:val="18"/>
              </w:rPr>
            </w:pPr>
          </w:p>
        </w:tc>
        <w:tc>
          <w:tcPr>
            <w:tcW w:w="865" w:type="pct"/>
            <w:shd w:val="clear" w:color="auto" w:fill="auto"/>
            <w:vAlign w:val="center"/>
            <w:hideMark/>
          </w:tcPr>
          <w:p w:rsidR="008D52A6" w:rsidRPr="00FE16A7" w:rsidRDefault="008D52A6" w:rsidP="008F2D41">
            <w:pPr>
              <w:widowControl/>
              <w:jc w:val="center"/>
              <w:rPr>
                <w:b/>
                <w:bCs/>
                <w:kern w:val="0"/>
                <w:sz w:val="18"/>
                <w:szCs w:val="18"/>
              </w:rPr>
            </w:pPr>
            <w:r w:rsidRPr="00FE16A7">
              <w:rPr>
                <w:b/>
                <w:bCs/>
                <w:kern w:val="0"/>
                <w:sz w:val="18"/>
                <w:szCs w:val="18"/>
              </w:rPr>
              <w:t>A</w:t>
            </w:r>
          </w:p>
        </w:tc>
        <w:tc>
          <w:tcPr>
            <w:tcW w:w="865" w:type="pct"/>
            <w:shd w:val="clear" w:color="auto" w:fill="auto"/>
            <w:vAlign w:val="center"/>
            <w:hideMark/>
          </w:tcPr>
          <w:p w:rsidR="008D52A6" w:rsidRPr="00FE16A7" w:rsidRDefault="008D52A6" w:rsidP="008F2D41">
            <w:pPr>
              <w:widowControl/>
              <w:jc w:val="center"/>
              <w:rPr>
                <w:b/>
                <w:bCs/>
                <w:kern w:val="0"/>
                <w:sz w:val="18"/>
                <w:szCs w:val="18"/>
              </w:rPr>
            </w:pPr>
            <w:r w:rsidRPr="00FE16A7">
              <w:rPr>
                <w:b/>
                <w:bCs/>
                <w:kern w:val="0"/>
                <w:sz w:val="18"/>
                <w:szCs w:val="18"/>
              </w:rPr>
              <w:t>B</w:t>
            </w:r>
          </w:p>
        </w:tc>
        <w:tc>
          <w:tcPr>
            <w:tcW w:w="865" w:type="pct"/>
            <w:shd w:val="clear" w:color="auto" w:fill="auto"/>
            <w:vAlign w:val="center"/>
            <w:hideMark/>
          </w:tcPr>
          <w:p w:rsidR="008D52A6" w:rsidRPr="00FE16A7" w:rsidRDefault="008D52A6" w:rsidP="008F2D41">
            <w:pPr>
              <w:widowControl/>
              <w:jc w:val="center"/>
              <w:rPr>
                <w:b/>
                <w:bCs/>
                <w:kern w:val="0"/>
                <w:sz w:val="18"/>
                <w:szCs w:val="18"/>
              </w:rPr>
            </w:pPr>
            <w:r w:rsidRPr="00FE16A7">
              <w:rPr>
                <w:b/>
                <w:bCs/>
                <w:kern w:val="0"/>
                <w:sz w:val="18"/>
                <w:szCs w:val="18"/>
              </w:rPr>
              <w:t>C=B-A</w:t>
            </w:r>
          </w:p>
        </w:tc>
        <w:tc>
          <w:tcPr>
            <w:tcW w:w="865" w:type="pct"/>
            <w:shd w:val="clear" w:color="auto" w:fill="auto"/>
            <w:vAlign w:val="center"/>
            <w:hideMark/>
          </w:tcPr>
          <w:p w:rsidR="008D52A6" w:rsidRPr="00FE16A7" w:rsidRDefault="008D52A6" w:rsidP="008F2D41">
            <w:pPr>
              <w:widowControl/>
              <w:jc w:val="center"/>
              <w:rPr>
                <w:b/>
                <w:bCs/>
                <w:kern w:val="0"/>
                <w:sz w:val="18"/>
                <w:szCs w:val="18"/>
              </w:rPr>
            </w:pPr>
            <w:r w:rsidRPr="00FE16A7">
              <w:rPr>
                <w:b/>
                <w:bCs/>
                <w:kern w:val="0"/>
                <w:sz w:val="18"/>
                <w:szCs w:val="18"/>
              </w:rPr>
              <w:t>D=C/A×100</w:t>
            </w:r>
          </w:p>
        </w:tc>
      </w:tr>
      <w:tr w:rsidR="008D52A6" w:rsidRPr="00FE16A7" w:rsidTr="008F2D41">
        <w:trPr>
          <w:trHeight w:val="360"/>
        </w:trPr>
        <w:tc>
          <w:tcPr>
            <w:tcW w:w="1323" w:type="pct"/>
            <w:gridSpan w:val="2"/>
            <w:shd w:val="clear" w:color="auto" w:fill="auto"/>
            <w:noWrap/>
            <w:vAlign w:val="center"/>
            <w:hideMark/>
          </w:tcPr>
          <w:p w:rsidR="008D52A6" w:rsidRPr="00FE16A7" w:rsidRDefault="008D52A6" w:rsidP="008F2D41">
            <w:pPr>
              <w:widowControl/>
              <w:jc w:val="left"/>
              <w:rPr>
                <w:kern w:val="0"/>
                <w:sz w:val="18"/>
                <w:szCs w:val="18"/>
              </w:rPr>
            </w:pPr>
            <w:r w:rsidRPr="00FE16A7">
              <w:rPr>
                <w:rFonts w:ascii="宋体" w:hAnsi="宋体" w:hint="eastAsia"/>
                <w:kern w:val="0"/>
                <w:sz w:val="18"/>
                <w:szCs w:val="18"/>
              </w:rPr>
              <w:t>流动资产</w:t>
            </w:r>
          </w:p>
        </w:tc>
        <w:tc>
          <w:tcPr>
            <w:tcW w:w="217" w:type="pct"/>
            <w:shd w:val="clear" w:color="auto" w:fill="auto"/>
            <w:noWrap/>
            <w:vAlign w:val="center"/>
            <w:hideMark/>
          </w:tcPr>
          <w:p w:rsidR="008D52A6" w:rsidRPr="00FE16A7" w:rsidRDefault="008D52A6" w:rsidP="008F2D41">
            <w:pPr>
              <w:widowControl/>
              <w:jc w:val="center"/>
              <w:rPr>
                <w:kern w:val="0"/>
                <w:sz w:val="18"/>
                <w:szCs w:val="18"/>
              </w:rPr>
            </w:pPr>
            <w:r w:rsidRPr="00FE16A7">
              <w:rPr>
                <w:kern w:val="0"/>
                <w:sz w:val="18"/>
                <w:szCs w:val="18"/>
              </w:rPr>
              <w:t xml:space="preserve">1 </w:t>
            </w:r>
          </w:p>
        </w:tc>
        <w:tc>
          <w:tcPr>
            <w:tcW w:w="865" w:type="pct"/>
            <w:shd w:val="clear" w:color="auto" w:fill="auto"/>
            <w:noWrap/>
            <w:vAlign w:val="center"/>
            <w:hideMark/>
          </w:tcPr>
          <w:p w:rsidR="008D52A6" w:rsidRPr="00FE16A7" w:rsidRDefault="008D52A6" w:rsidP="008F2D41">
            <w:pPr>
              <w:widowControl/>
              <w:jc w:val="right"/>
              <w:rPr>
                <w:kern w:val="0"/>
                <w:sz w:val="18"/>
                <w:szCs w:val="18"/>
              </w:rPr>
            </w:pPr>
            <w:r w:rsidRPr="00FE16A7">
              <w:rPr>
                <w:kern w:val="0"/>
                <w:sz w:val="18"/>
                <w:szCs w:val="18"/>
              </w:rPr>
              <w:t>183,611.47</w:t>
            </w:r>
          </w:p>
        </w:tc>
        <w:tc>
          <w:tcPr>
            <w:tcW w:w="865" w:type="pct"/>
            <w:shd w:val="clear" w:color="auto" w:fill="auto"/>
            <w:noWrap/>
            <w:vAlign w:val="center"/>
            <w:hideMark/>
          </w:tcPr>
          <w:p w:rsidR="008D52A6" w:rsidRPr="00FE16A7" w:rsidRDefault="008D52A6" w:rsidP="008F2D41">
            <w:pPr>
              <w:widowControl/>
              <w:jc w:val="right"/>
              <w:rPr>
                <w:kern w:val="0"/>
                <w:sz w:val="18"/>
                <w:szCs w:val="18"/>
              </w:rPr>
            </w:pPr>
            <w:r w:rsidRPr="00FE16A7">
              <w:rPr>
                <w:kern w:val="0"/>
                <w:sz w:val="18"/>
                <w:szCs w:val="18"/>
              </w:rPr>
              <w:t>185,465.77</w:t>
            </w:r>
          </w:p>
        </w:tc>
        <w:tc>
          <w:tcPr>
            <w:tcW w:w="865" w:type="pct"/>
            <w:shd w:val="clear" w:color="auto" w:fill="auto"/>
            <w:noWrap/>
            <w:vAlign w:val="center"/>
            <w:hideMark/>
          </w:tcPr>
          <w:p w:rsidR="008D52A6" w:rsidRPr="00FE16A7" w:rsidRDefault="008D52A6" w:rsidP="008F2D41">
            <w:pPr>
              <w:widowControl/>
              <w:jc w:val="right"/>
              <w:rPr>
                <w:kern w:val="0"/>
                <w:sz w:val="18"/>
                <w:szCs w:val="18"/>
              </w:rPr>
            </w:pPr>
            <w:r w:rsidRPr="00FE16A7">
              <w:rPr>
                <w:kern w:val="0"/>
                <w:sz w:val="18"/>
                <w:szCs w:val="18"/>
              </w:rPr>
              <w:t>1,854.30</w:t>
            </w:r>
          </w:p>
        </w:tc>
        <w:tc>
          <w:tcPr>
            <w:tcW w:w="865" w:type="pct"/>
            <w:shd w:val="clear" w:color="auto" w:fill="auto"/>
            <w:noWrap/>
            <w:vAlign w:val="center"/>
            <w:hideMark/>
          </w:tcPr>
          <w:p w:rsidR="008D52A6" w:rsidRPr="00FE16A7" w:rsidRDefault="008D52A6" w:rsidP="008F2D41">
            <w:pPr>
              <w:widowControl/>
              <w:jc w:val="right"/>
              <w:rPr>
                <w:kern w:val="0"/>
                <w:sz w:val="18"/>
                <w:szCs w:val="18"/>
              </w:rPr>
            </w:pPr>
            <w:r w:rsidRPr="00FE16A7">
              <w:rPr>
                <w:kern w:val="0"/>
                <w:sz w:val="18"/>
                <w:szCs w:val="18"/>
              </w:rPr>
              <w:t>1.01</w:t>
            </w:r>
          </w:p>
        </w:tc>
      </w:tr>
      <w:tr w:rsidR="008D52A6" w:rsidRPr="00FE16A7" w:rsidTr="008F2D41">
        <w:trPr>
          <w:trHeight w:val="360"/>
        </w:trPr>
        <w:tc>
          <w:tcPr>
            <w:tcW w:w="1323" w:type="pct"/>
            <w:gridSpan w:val="2"/>
            <w:shd w:val="clear" w:color="auto" w:fill="auto"/>
            <w:noWrap/>
            <w:vAlign w:val="center"/>
            <w:hideMark/>
          </w:tcPr>
          <w:p w:rsidR="008D52A6" w:rsidRPr="00FE16A7" w:rsidRDefault="008D52A6" w:rsidP="008F2D41">
            <w:pPr>
              <w:widowControl/>
              <w:jc w:val="left"/>
              <w:rPr>
                <w:kern w:val="0"/>
                <w:sz w:val="18"/>
                <w:szCs w:val="18"/>
              </w:rPr>
            </w:pPr>
            <w:r w:rsidRPr="00FE16A7">
              <w:rPr>
                <w:rFonts w:ascii="宋体" w:hAnsi="宋体" w:hint="eastAsia"/>
                <w:kern w:val="0"/>
                <w:sz w:val="18"/>
                <w:szCs w:val="18"/>
              </w:rPr>
              <w:t>非流动资产</w:t>
            </w:r>
          </w:p>
        </w:tc>
        <w:tc>
          <w:tcPr>
            <w:tcW w:w="217" w:type="pct"/>
            <w:shd w:val="clear" w:color="auto" w:fill="auto"/>
            <w:noWrap/>
            <w:vAlign w:val="center"/>
            <w:hideMark/>
          </w:tcPr>
          <w:p w:rsidR="008D52A6" w:rsidRPr="00FE16A7" w:rsidRDefault="008D52A6" w:rsidP="008F2D41">
            <w:pPr>
              <w:widowControl/>
              <w:jc w:val="center"/>
              <w:rPr>
                <w:kern w:val="0"/>
                <w:sz w:val="18"/>
                <w:szCs w:val="18"/>
              </w:rPr>
            </w:pPr>
            <w:r w:rsidRPr="00FE16A7">
              <w:rPr>
                <w:kern w:val="0"/>
                <w:sz w:val="18"/>
                <w:szCs w:val="18"/>
              </w:rPr>
              <w:t xml:space="preserve">2 </w:t>
            </w:r>
          </w:p>
        </w:tc>
        <w:tc>
          <w:tcPr>
            <w:tcW w:w="865" w:type="pct"/>
            <w:shd w:val="clear" w:color="auto" w:fill="auto"/>
            <w:noWrap/>
            <w:vAlign w:val="center"/>
            <w:hideMark/>
          </w:tcPr>
          <w:p w:rsidR="008D52A6" w:rsidRPr="00FE16A7" w:rsidRDefault="008D52A6" w:rsidP="008F2D41">
            <w:pPr>
              <w:widowControl/>
              <w:jc w:val="right"/>
              <w:rPr>
                <w:kern w:val="0"/>
                <w:sz w:val="18"/>
                <w:szCs w:val="18"/>
              </w:rPr>
            </w:pPr>
            <w:r w:rsidRPr="00FE16A7">
              <w:rPr>
                <w:kern w:val="0"/>
                <w:sz w:val="18"/>
                <w:szCs w:val="18"/>
              </w:rPr>
              <w:t>184,892.02</w:t>
            </w:r>
          </w:p>
        </w:tc>
        <w:tc>
          <w:tcPr>
            <w:tcW w:w="865" w:type="pct"/>
            <w:shd w:val="clear" w:color="auto" w:fill="auto"/>
            <w:noWrap/>
            <w:vAlign w:val="center"/>
            <w:hideMark/>
          </w:tcPr>
          <w:p w:rsidR="008D52A6" w:rsidRPr="00FE16A7" w:rsidRDefault="008D52A6" w:rsidP="008F2D41">
            <w:pPr>
              <w:widowControl/>
              <w:jc w:val="right"/>
              <w:rPr>
                <w:kern w:val="0"/>
                <w:sz w:val="18"/>
                <w:szCs w:val="18"/>
              </w:rPr>
            </w:pPr>
            <w:r w:rsidRPr="00FE16A7">
              <w:rPr>
                <w:kern w:val="0"/>
                <w:sz w:val="18"/>
                <w:szCs w:val="18"/>
              </w:rPr>
              <w:t>159,742.87</w:t>
            </w:r>
          </w:p>
        </w:tc>
        <w:tc>
          <w:tcPr>
            <w:tcW w:w="865" w:type="pct"/>
            <w:shd w:val="clear" w:color="auto" w:fill="auto"/>
            <w:noWrap/>
            <w:vAlign w:val="center"/>
            <w:hideMark/>
          </w:tcPr>
          <w:p w:rsidR="008D52A6" w:rsidRPr="00FE16A7" w:rsidRDefault="008D52A6" w:rsidP="008F2D41">
            <w:pPr>
              <w:widowControl/>
              <w:jc w:val="right"/>
              <w:rPr>
                <w:kern w:val="0"/>
                <w:sz w:val="18"/>
                <w:szCs w:val="18"/>
              </w:rPr>
            </w:pPr>
            <w:r w:rsidRPr="00FE16A7">
              <w:rPr>
                <w:kern w:val="0"/>
                <w:sz w:val="18"/>
                <w:szCs w:val="18"/>
              </w:rPr>
              <w:t>-25,149.15</w:t>
            </w:r>
          </w:p>
        </w:tc>
        <w:tc>
          <w:tcPr>
            <w:tcW w:w="865" w:type="pct"/>
            <w:shd w:val="clear" w:color="auto" w:fill="auto"/>
            <w:noWrap/>
            <w:vAlign w:val="center"/>
            <w:hideMark/>
          </w:tcPr>
          <w:p w:rsidR="008D52A6" w:rsidRPr="00FE16A7" w:rsidRDefault="008D52A6" w:rsidP="008F2D41">
            <w:pPr>
              <w:widowControl/>
              <w:jc w:val="right"/>
              <w:rPr>
                <w:kern w:val="0"/>
                <w:sz w:val="18"/>
                <w:szCs w:val="18"/>
              </w:rPr>
            </w:pPr>
            <w:r w:rsidRPr="00FE16A7">
              <w:rPr>
                <w:kern w:val="0"/>
                <w:sz w:val="18"/>
                <w:szCs w:val="18"/>
              </w:rPr>
              <w:t>-13.60</w:t>
            </w:r>
          </w:p>
        </w:tc>
      </w:tr>
      <w:tr w:rsidR="008D52A6" w:rsidRPr="00FE16A7" w:rsidTr="008F2D41">
        <w:trPr>
          <w:trHeight w:val="360"/>
        </w:trPr>
        <w:tc>
          <w:tcPr>
            <w:tcW w:w="415" w:type="pct"/>
            <w:shd w:val="clear" w:color="auto" w:fill="auto"/>
            <w:noWrap/>
            <w:vAlign w:val="center"/>
            <w:hideMark/>
          </w:tcPr>
          <w:p w:rsidR="008D52A6" w:rsidRPr="00FE16A7" w:rsidRDefault="008D52A6" w:rsidP="008F2D41">
            <w:pPr>
              <w:widowControl/>
              <w:jc w:val="left"/>
              <w:rPr>
                <w:kern w:val="0"/>
                <w:sz w:val="18"/>
                <w:szCs w:val="18"/>
              </w:rPr>
            </w:pPr>
            <w:r w:rsidRPr="00FE16A7">
              <w:rPr>
                <w:rFonts w:ascii="宋体" w:hAnsi="宋体" w:hint="eastAsia"/>
                <w:kern w:val="0"/>
                <w:sz w:val="18"/>
                <w:szCs w:val="18"/>
              </w:rPr>
              <w:t>其中：</w:t>
            </w:r>
          </w:p>
        </w:tc>
        <w:tc>
          <w:tcPr>
            <w:tcW w:w="908" w:type="pct"/>
            <w:shd w:val="clear" w:color="auto" w:fill="auto"/>
            <w:noWrap/>
            <w:vAlign w:val="center"/>
            <w:hideMark/>
          </w:tcPr>
          <w:p w:rsidR="008D52A6" w:rsidRPr="00FE16A7" w:rsidRDefault="008D52A6" w:rsidP="008F2D41">
            <w:pPr>
              <w:widowControl/>
              <w:jc w:val="left"/>
              <w:rPr>
                <w:kern w:val="0"/>
                <w:sz w:val="18"/>
                <w:szCs w:val="18"/>
              </w:rPr>
            </w:pPr>
            <w:r w:rsidRPr="00FE16A7">
              <w:rPr>
                <w:rFonts w:ascii="宋体" w:hAnsi="宋体" w:hint="eastAsia"/>
                <w:kern w:val="0"/>
                <w:sz w:val="18"/>
                <w:szCs w:val="18"/>
              </w:rPr>
              <w:t>长期股权投资</w:t>
            </w:r>
          </w:p>
        </w:tc>
        <w:tc>
          <w:tcPr>
            <w:tcW w:w="217" w:type="pct"/>
            <w:shd w:val="clear" w:color="auto" w:fill="auto"/>
            <w:noWrap/>
            <w:vAlign w:val="center"/>
            <w:hideMark/>
          </w:tcPr>
          <w:p w:rsidR="008D52A6" w:rsidRPr="00FE16A7" w:rsidRDefault="008D52A6" w:rsidP="008F2D41">
            <w:pPr>
              <w:widowControl/>
              <w:jc w:val="center"/>
              <w:rPr>
                <w:kern w:val="0"/>
                <w:sz w:val="18"/>
                <w:szCs w:val="18"/>
              </w:rPr>
            </w:pPr>
            <w:r w:rsidRPr="00FE16A7">
              <w:rPr>
                <w:kern w:val="0"/>
                <w:sz w:val="18"/>
                <w:szCs w:val="18"/>
              </w:rPr>
              <w:t xml:space="preserve">3 </w:t>
            </w:r>
          </w:p>
        </w:tc>
        <w:tc>
          <w:tcPr>
            <w:tcW w:w="865" w:type="pct"/>
            <w:shd w:val="clear" w:color="auto" w:fill="auto"/>
            <w:noWrap/>
            <w:vAlign w:val="center"/>
            <w:hideMark/>
          </w:tcPr>
          <w:p w:rsidR="008D52A6" w:rsidRPr="00FE16A7" w:rsidRDefault="008D52A6" w:rsidP="008F2D41">
            <w:pPr>
              <w:widowControl/>
              <w:jc w:val="right"/>
              <w:rPr>
                <w:kern w:val="0"/>
                <w:sz w:val="18"/>
                <w:szCs w:val="18"/>
              </w:rPr>
            </w:pPr>
            <w:r w:rsidRPr="00FE16A7">
              <w:rPr>
                <w:kern w:val="0"/>
                <w:sz w:val="18"/>
                <w:szCs w:val="18"/>
              </w:rPr>
              <w:t>4,919.66</w:t>
            </w:r>
          </w:p>
        </w:tc>
        <w:tc>
          <w:tcPr>
            <w:tcW w:w="865" w:type="pct"/>
            <w:shd w:val="clear" w:color="auto" w:fill="auto"/>
            <w:noWrap/>
            <w:vAlign w:val="center"/>
            <w:hideMark/>
          </w:tcPr>
          <w:p w:rsidR="008D52A6" w:rsidRPr="00FE16A7" w:rsidRDefault="008D52A6" w:rsidP="008F2D41">
            <w:pPr>
              <w:widowControl/>
              <w:jc w:val="right"/>
              <w:rPr>
                <w:kern w:val="0"/>
                <w:sz w:val="18"/>
                <w:szCs w:val="18"/>
              </w:rPr>
            </w:pPr>
            <w:r w:rsidRPr="00FE16A7">
              <w:rPr>
                <w:kern w:val="0"/>
                <w:sz w:val="18"/>
                <w:szCs w:val="18"/>
              </w:rPr>
              <w:t>9,171.09</w:t>
            </w:r>
          </w:p>
        </w:tc>
        <w:tc>
          <w:tcPr>
            <w:tcW w:w="865" w:type="pct"/>
            <w:shd w:val="clear" w:color="auto" w:fill="auto"/>
            <w:noWrap/>
            <w:vAlign w:val="center"/>
            <w:hideMark/>
          </w:tcPr>
          <w:p w:rsidR="008D52A6" w:rsidRPr="00FE16A7" w:rsidRDefault="008D52A6" w:rsidP="008F2D41">
            <w:pPr>
              <w:widowControl/>
              <w:jc w:val="right"/>
              <w:rPr>
                <w:kern w:val="0"/>
                <w:sz w:val="18"/>
                <w:szCs w:val="18"/>
              </w:rPr>
            </w:pPr>
            <w:r w:rsidRPr="00FE16A7">
              <w:rPr>
                <w:kern w:val="0"/>
                <w:sz w:val="18"/>
                <w:szCs w:val="18"/>
              </w:rPr>
              <w:t>4,251.43</w:t>
            </w:r>
          </w:p>
        </w:tc>
        <w:tc>
          <w:tcPr>
            <w:tcW w:w="865" w:type="pct"/>
            <w:shd w:val="clear" w:color="auto" w:fill="auto"/>
            <w:noWrap/>
            <w:vAlign w:val="center"/>
            <w:hideMark/>
          </w:tcPr>
          <w:p w:rsidR="008D52A6" w:rsidRPr="00FE16A7" w:rsidRDefault="008D52A6" w:rsidP="008F2D41">
            <w:pPr>
              <w:widowControl/>
              <w:jc w:val="right"/>
              <w:rPr>
                <w:kern w:val="0"/>
                <w:sz w:val="18"/>
                <w:szCs w:val="18"/>
              </w:rPr>
            </w:pPr>
            <w:r w:rsidRPr="00FE16A7">
              <w:rPr>
                <w:kern w:val="0"/>
                <w:sz w:val="18"/>
                <w:szCs w:val="18"/>
              </w:rPr>
              <w:t>86.42</w:t>
            </w:r>
          </w:p>
        </w:tc>
      </w:tr>
      <w:tr w:rsidR="008D52A6" w:rsidRPr="00FE16A7" w:rsidTr="008F2D41">
        <w:trPr>
          <w:trHeight w:val="360"/>
        </w:trPr>
        <w:tc>
          <w:tcPr>
            <w:tcW w:w="415" w:type="pct"/>
            <w:shd w:val="clear" w:color="auto" w:fill="auto"/>
            <w:noWrap/>
            <w:vAlign w:val="center"/>
            <w:hideMark/>
          </w:tcPr>
          <w:p w:rsidR="008D52A6" w:rsidRPr="00FE16A7" w:rsidRDefault="008D52A6" w:rsidP="008F2D41">
            <w:pPr>
              <w:widowControl/>
              <w:jc w:val="left"/>
              <w:rPr>
                <w:kern w:val="0"/>
                <w:sz w:val="18"/>
                <w:szCs w:val="18"/>
              </w:rPr>
            </w:pPr>
            <w:r w:rsidRPr="00FE16A7">
              <w:rPr>
                <w:kern w:val="0"/>
                <w:sz w:val="18"/>
                <w:szCs w:val="18"/>
              </w:rPr>
              <w:t xml:space="preserve">　</w:t>
            </w:r>
          </w:p>
        </w:tc>
        <w:tc>
          <w:tcPr>
            <w:tcW w:w="908" w:type="pct"/>
            <w:shd w:val="clear" w:color="auto" w:fill="auto"/>
            <w:noWrap/>
            <w:vAlign w:val="center"/>
            <w:hideMark/>
          </w:tcPr>
          <w:p w:rsidR="008D52A6" w:rsidRPr="00FE16A7" w:rsidRDefault="008D52A6" w:rsidP="008F2D41">
            <w:pPr>
              <w:widowControl/>
              <w:jc w:val="left"/>
              <w:rPr>
                <w:kern w:val="0"/>
                <w:sz w:val="18"/>
                <w:szCs w:val="18"/>
              </w:rPr>
            </w:pPr>
            <w:r w:rsidRPr="00FE16A7">
              <w:rPr>
                <w:rFonts w:ascii="宋体" w:hAnsi="宋体" w:hint="eastAsia"/>
                <w:kern w:val="0"/>
                <w:sz w:val="18"/>
                <w:szCs w:val="18"/>
              </w:rPr>
              <w:t>投资性房地产</w:t>
            </w:r>
          </w:p>
        </w:tc>
        <w:tc>
          <w:tcPr>
            <w:tcW w:w="217" w:type="pct"/>
            <w:shd w:val="clear" w:color="auto" w:fill="auto"/>
            <w:noWrap/>
            <w:vAlign w:val="center"/>
            <w:hideMark/>
          </w:tcPr>
          <w:p w:rsidR="008D52A6" w:rsidRPr="00FE16A7" w:rsidRDefault="008D52A6" w:rsidP="008F2D41">
            <w:pPr>
              <w:widowControl/>
              <w:jc w:val="center"/>
              <w:rPr>
                <w:kern w:val="0"/>
                <w:sz w:val="18"/>
                <w:szCs w:val="18"/>
              </w:rPr>
            </w:pPr>
            <w:r w:rsidRPr="00FE16A7">
              <w:rPr>
                <w:kern w:val="0"/>
                <w:sz w:val="18"/>
                <w:szCs w:val="18"/>
              </w:rPr>
              <w:t xml:space="preserve">4 </w:t>
            </w:r>
          </w:p>
        </w:tc>
        <w:tc>
          <w:tcPr>
            <w:tcW w:w="865" w:type="pct"/>
            <w:shd w:val="clear" w:color="auto" w:fill="auto"/>
            <w:noWrap/>
            <w:vAlign w:val="center"/>
            <w:hideMark/>
          </w:tcPr>
          <w:p w:rsidR="008D52A6" w:rsidRPr="00FE16A7" w:rsidRDefault="008D52A6" w:rsidP="008F2D41">
            <w:pPr>
              <w:widowControl/>
              <w:jc w:val="right"/>
              <w:rPr>
                <w:rFonts w:ascii="宋体" w:hAnsi="宋体"/>
                <w:color w:val="FFFFFF"/>
                <w:kern w:val="0"/>
                <w:sz w:val="18"/>
                <w:szCs w:val="18"/>
              </w:rPr>
            </w:pPr>
            <w:r w:rsidRPr="00FE16A7">
              <w:rPr>
                <w:rFonts w:ascii="宋体" w:hAnsi="宋体" w:hint="eastAsia"/>
                <w:color w:val="FFFFFF"/>
                <w:kern w:val="0"/>
                <w:sz w:val="18"/>
                <w:szCs w:val="18"/>
              </w:rPr>
              <w:t>-</w:t>
            </w:r>
          </w:p>
        </w:tc>
        <w:tc>
          <w:tcPr>
            <w:tcW w:w="865" w:type="pct"/>
            <w:shd w:val="clear" w:color="auto" w:fill="auto"/>
            <w:noWrap/>
            <w:vAlign w:val="center"/>
            <w:hideMark/>
          </w:tcPr>
          <w:p w:rsidR="008D52A6" w:rsidRPr="00FE16A7" w:rsidRDefault="008D52A6" w:rsidP="008F2D41">
            <w:pPr>
              <w:widowControl/>
              <w:jc w:val="right"/>
              <w:rPr>
                <w:rFonts w:ascii="宋体" w:hAnsi="宋体" w:hint="eastAsia"/>
                <w:color w:val="FFFFFF"/>
                <w:kern w:val="0"/>
                <w:sz w:val="18"/>
                <w:szCs w:val="18"/>
              </w:rPr>
            </w:pPr>
            <w:r w:rsidRPr="00FE16A7">
              <w:rPr>
                <w:rFonts w:ascii="宋体" w:hAnsi="宋体" w:hint="eastAsia"/>
                <w:color w:val="FFFFFF"/>
                <w:kern w:val="0"/>
                <w:sz w:val="18"/>
                <w:szCs w:val="18"/>
              </w:rPr>
              <w:t>-</w:t>
            </w:r>
          </w:p>
        </w:tc>
        <w:tc>
          <w:tcPr>
            <w:tcW w:w="865" w:type="pct"/>
            <w:shd w:val="clear" w:color="auto" w:fill="auto"/>
            <w:noWrap/>
            <w:vAlign w:val="center"/>
            <w:hideMark/>
          </w:tcPr>
          <w:p w:rsidR="008D52A6" w:rsidRPr="00FE16A7" w:rsidRDefault="008D52A6" w:rsidP="008F2D41">
            <w:pPr>
              <w:widowControl/>
              <w:jc w:val="right"/>
              <w:rPr>
                <w:rFonts w:ascii="宋体" w:hAnsi="宋体" w:hint="eastAsia"/>
                <w:color w:val="FFFFFF"/>
                <w:kern w:val="0"/>
                <w:sz w:val="18"/>
                <w:szCs w:val="18"/>
              </w:rPr>
            </w:pPr>
            <w:r w:rsidRPr="00FE16A7">
              <w:rPr>
                <w:rFonts w:ascii="宋体" w:hAnsi="宋体" w:hint="eastAsia"/>
                <w:color w:val="FFFFFF"/>
                <w:kern w:val="0"/>
                <w:sz w:val="18"/>
                <w:szCs w:val="18"/>
              </w:rPr>
              <w:t>0.00</w:t>
            </w:r>
          </w:p>
        </w:tc>
        <w:tc>
          <w:tcPr>
            <w:tcW w:w="865" w:type="pct"/>
            <w:shd w:val="clear" w:color="auto" w:fill="auto"/>
            <w:noWrap/>
            <w:vAlign w:val="center"/>
            <w:hideMark/>
          </w:tcPr>
          <w:p w:rsidR="008D52A6" w:rsidRPr="00FE16A7" w:rsidRDefault="008D52A6" w:rsidP="008F2D41">
            <w:pPr>
              <w:widowControl/>
              <w:jc w:val="right"/>
              <w:rPr>
                <w:rFonts w:ascii="宋体" w:hAnsi="宋体" w:hint="eastAsia"/>
                <w:color w:val="FFFFFF"/>
                <w:kern w:val="0"/>
                <w:sz w:val="18"/>
                <w:szCs w:val="18"/>
              </w:rPr>
            </w:pPr>
            <w:r w:rsidRPr="00FE16A7">
              <w:rPr>
                <w:rFonts w:ascii="宋体" w:hAnsi="宋体" w:hint="eastAsia"/>
                <w:color w:val="FFFFFF"/>
                <w:kern w:val="0"/>
                <w:sz w:val="18"/>
                <w:szCs w:val="18"/>
              </w:rPr>
              <w:t>0.00</w:t>
            </w:r>
          </w:p>
        </w:tc>
      </w:tr>
      <w:tr w:rsidR="008D52A6" w:rsidRPr="00FE16A7" w:rsidTr="008F2D41">
        <w:trPr>
          <w:trHeight w:val="360"/>
        </w:trPr>
        <w:tc>
          <w:tcPr>
            <w:tcW w:w="415" w:type="pct"/>
            <w:shd w:val="clear" w:color="auto" w:fill="auto"/>
            <w:noWrap/>
            <w:vAlign w:val="center"/>
            <w:hideMark/>
          </w:tcPr>
          <w:p w:rsidR="008D52A6" w:rsidRPr="00FE16A7" w:rsidRDefault="008D52A6" w:rsidP="008F2D41">
            <w:pPr>
              <w:widowControl/>
              <w:jc w:val="left"/>
              <w:rPr>
                <w:rFonts w:hint="eastAsia"/>
                <w:kern w:val="0"/>
                <w:sz w:val="18"/>
                <w:szCs w:val="18"/>
              </w:rPr>
            </w:pPr>
            <w:r w:rsidRPr="00FE16A7">
              <w:rPr>
                <w:kern w:val="0"/>
                <w:sz w:val="18"/>
                <w:szCs w:val="18"/>
              </w:rPr>
              <w:t xml:space="preserve">　</w:t>
            </w:r>
          </w:p>
        </w:tc>
        <w:tc>
          <w:tcPr>
            <w:tcW w:w="908" w:type="pct"/>
            <w:shd w:val="clear" w:color="auto" w:fill="auto"/>
            <w:noWrap/>
            <w:vAlign w:val="center"/>
            <w:hideMark/>
          </w:tcPr>
          <w:p w:rsidR="008D52A6" w:rsidRPr="00FE16A7" w:rsidRDefault="008D52A6" w:rsidP="008F2D41">
            <w:pPr>
              <w:widowControl/>
              <w:jc w:val="left"/>
              <w:rPr>
                <w:kern w:val="0"/>
                <w:sz w:val="18"/>
                <w:szCs w:val="18"/>
              </w:rPr>
            </w:pPr>
            <w:r w:rsidRPr="00FE16A7">
              <w:rPr>
                <w:rFonts w:ascii="宋体" w:hAnsi="宋体" w:hint="eastAsia"/>
                <w:kern w:val="0"/>
                <w:sz w:val="18"/>
                <w:szCs w:val="18"/>
              </w:rPr>
              <w:t>固定资产</w:t>
            </w:r>
          </w:p>
        </w:tc>
        <w:tc>
          <w:tcPr>
            <w:tcW w:w="217" w:type="pct"/>
            <w:shd w:val="clear" w:color="auto" w:fill="auto"/>
            <w:noWrap/>
            <w:vAlign w:val="center"/>
            <w:hideMark/>
          </w:tcPr>
          <w:p w:rsidR="008D52A6" w:rsidRPr="00FE16A7" w:rsidRDefault="008D52A6" w:rsidP="008F2D41">
            <w:pPr>
              <w:widowControl/>
              <w:jc w:val="center"/>
              <w:rPr>
                <w:kern w:val="0"/>
                <w:sz w:val="18"/>
                <w:szCs w:val="18"/>
              </w:rPr>
            </w:pPr>
            <w:r w:rsidRPr="00FE16A7">
              <w:rPr>
                <w:kern w:val="0"/>
                <w:sz w:val="18"/>
                <w:szCs w:val="18"/>
              </w:rPr>
              <w:t xml:space="preserve">5 </w:t>
            </w:r>
          </w:p>
        </w:tc>
        <w:tc>
          <w:tcPr>
            <w:tcW w:w="865" w:type="pct"/>
            <w:shd w:val="clear" w:color="auto" w:fill="auto"/>
            <w:noWrap/>
            <w:vAlign w:val="center"/>
            <w:hideMark/>
          </w:tcPr>
          <w:p w:rsidR="008D52A6" w:rsidRPr="00FE16A7" w:rsidRDefault="008D52A6" w:rsidP="008F2D41">
            <w:pPr>
              <w:widowControl/>
              <w:jc w:val="right"/>
              <w:rPr>
                <w:kern w:val="0"/>
                <w:sz w:val="18"/>
                <w:szCs w:val="18"/>
              </w:rPr>
            </w:pPr>
            <w:r w:rsidRPr="00FE16A7">
              <w:rPr>
                <w:kern w:val="0"/>
                <w:sz w:val="18"/>
                <w:szCs w:val="18"/>
              </w:rPr>
              <w:t>61,427.29</w:t>
            </w:r>
          </w:p>
        </w:tc>
        <w:tc>
          <w:tcPr>
            <w:tcW w:w="865" w:type="pct"/>
            <w:shd w:val="clear" w:color="auto" w:fill="auto"/>
            <w:noWrap/>
            <w:vAlign w:val="center"/>
            <w:hideMark/>
          </w:tcPr>
          <w:p w:rsidR="008D52A6" w:rsidRPr="00FE16A7" w:rsidRDefault="008D52A6" w:rsidP="008F2D41">
            <w:pPr>
              <w:widowControl/>
              <w:jc w:val="right"/>
              <w:rPr>
                <w:kern w:val="0"/>
                <w:sz w:val="18"/>
                <w:szCs w:val="18"/>
              </w:rPr>
            </w:pPr>
            <w:r w:rsidRPr="00FE16A7">
              <w:rPr>
                <w:kern w:val="0"/>
                <w:sz w:val="18"/>
                <w:szCs w:val="18"/>
              </w:rPr>
              <w:t>105,992.48</w:t>
            </w:r>
          </w:p>
        </w:tc>
        <w:tc>
          <w:tcPr>
            <w:tcW w:w="865" w:type="pct"/>
            <w:shd w:val="clear" w:color="auto" w:fill="auto"/>
            <w:noWrap/>
            <w:vAlign w:val="center"/>
            <w:hideMark/>
          </w:tcPr>
          <w:p w:rsidR="008D52A6" w:rsidRPr="00FE16A7" w:rsidRDefault="008D52A6" w:rsidP="008F2D41">
            <w:pPr>
              <w:widowControl/>
              <w:jc w:val="right"/>
              <w:rPr>
                <w:kern w:val="0"/>
                <w:sz w:val="18"/>
                <w:szCs w:val="18"/>
              </w:rPr>
            </w:pPr>
            <w:r w:rsidRPr="00FE16A7">
              <w:rPr>
                <w:kern w:val="0"/>
                <w:sz w:val="18"/>
                <w:szCs w:val="18"/>
              </w:rPr>
              <w:t>44,565.19</w:t>
            </w:r>
          </w:p>
        </w:tc>
        <w:tc>
          <w:tcPr>
            <w:tcW w:w="865" w:type="pct"/>
            <w:shd w:val="clear" w:color="auto" w:fill="auto"/>
            <w:noWrap/>
            <w:vAlign w:val="center"/>
            <w:hideMark/>
          </w:tcPr>
          <w:p w:rsidR="008D52A6" w:rsidRPr="00FE16A7" w:rsidRDefault="008D52A6" w:rsidP="008F2D41">
            <w:pPr>
              <w:widowControl/>
              <w:jc w:val="right"/>
              <w:rPr>
                <w:kern w:val="0"/>
                <w:sz w:val="18"/>
                <w:szCs w:val="18"/>
              </w:rPr>
            </w:pPr>
            <w:r w:rsidRPr="00FE16A7">
              <w:rPr>
                <w:kern w:val="0"/>
                <w:sz w:val="18"/>
                <w:szCs w:val="18"/>
              </w:rPr>
              <w:t>72.55</w:t>
            </w:r>
          </w:p>
        </w:tc>
      </w:tr>
      <w:tr w:rsidR="008D52A6" w:rsidRPr="00FE16A7" w:rsidTr="008F2D41">
        <w:trPr>
          <w:trHeight w:val="360"/>
        </w:trPr>
        <w:tc>
          <w:tcPr>
            <w:tcW w:w="415" w:type="pct"/>
            <w:shd w:val="clear" w:color="auto" w:fill="auto"/>
            <w:noWrap/>
            <w:vAlign w:val="center"/>
            <w:hideMark/>
          </w:tcPr>
          <w:p w:rsidR="008D52A6" w:rsidRPr="00FE16A7" w:rsidRDefault="008D52A6" w:rsidP="008F2D41">
            <w:pPr>
              <w:widowControl/>
              <w:jc w:val="left"/>
              <w:rPr>
                <w:kern w:val="0"/>
                <w:sz w:val="18"/>
                <w:szCs w:val="18"/>
              </w:rPr>
            </w:pPr>
            <w:r w:rsidRPr="00FE16A7">
              <w:rPr>
                <w:kern w:val="0"/>
                <w:sz w:val="18"/>
                <w:szCs w:val="18"/>
              </w:rPr>
              <w:t xml:space="preserve">　</w:t>
            </w:r>
          </w:p>
        </w:tc>
        <w:tc>
          <w:tcPr>
            <w:tcW w:w="908" w:type="pct"/>
            <w:shd w:val="clear" w:color="auto" w:fill="auto"/>
            <w:noWrap/>
            <w:vAlign w:val="center"/>
            <w:hideMark/>
          </w:tcPr>
          <w:p w:rsidR="008D52A6" w:rsidRPr="00FE16A7" w:rsidRDefault="008D52A6" w:rsidP="008F2D41">
            <w:pPr>
              <w:widowControl/>
              <w:jc w:val="left"/>
              <w:rPr>
                <w:rFonts w:ascii="宋体" w:hAnsi="宋体" w:cs="宋体"/>
                <w:kern w:val="0"/>
                <w:sz w:val="18"/>
                <w:szCs w:val="18"/>
              </w:rPr>
            </w:pPr>
            <w:r w:rsidRPr="00FE16A7">
              <w:rPr>
                <w:rFonts w:ascii="宋体" w:hAnsi="宋体" w:cs="宋体" w:hint="eastAsia"/>
                <w:kern w:val="0"/>
                <w:sz w:val="18"/>
                <w:szCs w:val="18"/>
              </w:rPr>
              <w:t>其中：建筑物类</w:t>
            </w:r>
          </w:p>
        </w:tc>
        <w:tc>
          <w:tcPr>
            <w:tcW w:w="217" w:type="pct"/>
            <w:shd w:val="clear" w:color="auto" w:fill="auto"/>
            <w:noWrap/>
            <w:vAlign w:val="center"/>
            <w:hideMark/>
          </w:tcPr>
          <w:p w:rsidR="008D52A6" w:rsidRPr="00FE16A7" w:rsidRDefault="008D52A6" w:rsidP="008F2D41">
            <w:pPr>
              <w:widowControl/>
              <w:jc w:val="center"/>
              <w:rPr>
                <w:rFonts w:hint="eastAsia"/>
                <w:kern w:val="0"/>
                <w:sz w:val="18"/>
                <w:szCs w:val="18"/>
              </w:rPr>
            </w:pPr>
            <w:r w:rsidRPr="00FE16A7">
              <w:rPr>
                <w:kern w:val="0"/>
                <w:sz w:val="18"/>
                <w:szCs w:val="18"/>
              </w:rPr>
              <w:t xml:space="preserve">6 </w:t>
            </w:r>
          </w:p>
        </w:tc>
        <w:tc>
          <w:tcPr>
            <w:tcW w:w="865" w:type="pct"/>
            <w:shd w:val="clear" w:color="auto" w:fill="auto"/>
            <w:noWrap/>
            <w:vAlign w:val="center"/>
            <w:hideMark/>
          </w:tcPr>
          <w:p w:rsidR="008D52A6" w:rsidRPr="00FE16A7" w:rsidRDefault="008D52A6" w:rsidP="008F2D41">
            <w:pPr>
              <w:widowControl/>
              <w:jc w:val="right"/>
              <w:rPr>
                <w:kern w:val="0"/>
                <w:sz w:val="18"/>
                <w:szCs w:val="18"/>
              </w:rPr>
            </w:pPr>
            <w:r w:rsidRPr="00FE16A7">
              <w:rPr>
                <w:kern w:val="0"/>
                <w:sz w:val="18"/>
                <w:szCs w:val="18"/>
              </w:rPr>
              <w:t>40,715.90</w:t>
            </w:r>
          </w:p>
        </w:tc>
        <w:tc>
          <w:tcPr>
            <w:tcW w:w="865" w:type="pct"/>
            <w:shd w:val="clear" w:color="auto" w:fill="auto"/>
            <w:noWrap/>
            <w:vAlign w:val="center"/>
            <w:hideMark/>
          </w:tcPr>
          <w:p w:rsidR="008D52A6" w:rsidRPr="00FE16A7" w:rsidRDefault="008D52A6" w:rsidP="008F2D41">
            <w:pPr>
              <w:widowControl/>
              <w:jc w:val="right"/>
              <w:rPr>
                <w:kern w:val="0"/>
                <w:sz w:val="18"/>
                <w:szCs w:val="18"/>
              </w:rPr>
            </w:pPr>
            <w:r w:rsidRPr="00FE16A7">
              <w:rPr>
                <w:kern w:val="0"/>
                <w:sz w:val="18"/>
                <w:szCs w:val="18"/>
              </w:rPr>
              <w:t>78,231.93</w:t>
            </w:r>
          </w:p>
        </w:tc>
        <w:tc>
          <w:tcPr>
            <w:tcW w:w="865" w:type="pct"/>
            <w:shd w:val="clear" w:color="auto" w:fill="auto"/>
            <w:noWrap/>
            <w:vAlign w:val="center"/>
            <w:hideMark/>
          </w:tcPr>
          <w:p w:rsidR="008D52A6" w:rsidRPr="00FE16A7" w:rsidRDefault="008D52A6" w:rsidP="008F2D41">
            <w:pPr>
              <w:widowControl/>
              <w:jc w:val="right"/>
              <w:rPr>
                <w:kern w:val="0"/>
                <w:sz w:val="18"/>
                <w:szCs w:val="18"/>
              </w:rPr>
            </w:pPr>
            <w:r w:rsidRPr="00FE16A7">
              <w:rPr>
                <w:kern w:val="0"/>
                <w:sz w:val="18"/>
                <w:szCs w:val="18"/>
              </w:rPr>
              <w:t>37,516.03</w:t>
            </w:r>
          </w:p>
        </w:tc>
        <w:tc>
          <w:tcPr>
            <w:tcW w:w="865" w:type="pct"/>
            <w:shd w:val="clear" w:color="auto" w:fill="auto"/>
            <w:noWrap/>
            <w:vAlign w:val="center"/>
            <w:hideMark/>
          </w:tcPr>
          <w:p w:rsidR="008D52A6" w:rsidRPr="00FE16A7" w:rsidRDefault="008D52A6" w:rsidP="008F2D41">
            <w:pPr>
              <w:widowControl/>
              <w:jc w:val="right"/>
              <w:rPr>
                <w:kern w:val="0"/>
                <w:sz w:val="18"/>
                <w:szCs w:val="18"/>
              </w:rPr>
            </w:pPr>
            <w:r w:rsidRPr="00FE16A7">
              <w:rPr>
                <w:kern w:val="0"/>
                <w:sz w:val="18"/>
                <w:szCs w:val="18"/>
              </w:rPr>
              <w:t>92.14</w:t>
            </w:r>
          </w:p>
        </w:tc>
      </w:tr>
      <w:tr w:rsidR="008D52A6" w:rsidRPr="00FE16A7" w:rsidTr="008F2D41">
        <w:trPr>
          <w:trHeight w:val="360"/>
        </w:trPr>
        <w:tc>
          <w:tcPr>
            <w:tcW w:w="415" w:type="pct"/>
            <w:shd w:val="clear" w:color="auto" w:fill="auto"/>
            <w:noWrap/>
            <w:vAlign w:val="center"/>
            <w:hideMark/>
          </w:tcPr>
          <w:p w:rsidR="008D52A6" w:rsidRPr="00FE16A7" w:rsidRDefault="008D52A6" w:rsidP="008F2D41">
            <w:pPr>
              <w:widowControl/>
              <w:jc w:val="left"/>
              <w:rPr>
                <w:kern w:val="0"/>
                <w:sz w:val="18"/>
                <w:szCs w:val="18"/>
              </w:rPr>
            </w:pPr>
            <w:r w:rsidRPr="00FE16A7">
              <w:rPr>
                <w:kern w:val="0"/>
                <w:sz w:val="18"/>
                <w:szCs w:val="18"/>
              </w:rPr>
              <w:t xml:space="preserve">　</w:t>
            </w:r>
          </w:p>
        </w:tc>
        <w:tc>
          <w:tcPr>
            <w:tcW w:w="908" w:type="pct"/>
            <w:shd w:val="clear" w:color="auto" w:fill="auto"/>
            <w:noWrap/>
            <w:vAlign w:val="center"/>
            <w:hideMark/>
          </w:tcPr>
          <w:p w:rsidR="008D52A6" w:rsidRPr="00FE16A7" w:rsidRDefault="008D52A6" w:rsidP="008F2D41">
            <w:pPr>
              <w:widowControl/>
              <w:jc w:val="left"/>
              <w:rPr>
                <w:kern w:val="0"/>
                <w:sz w:val="18"/>
                <w:szCs w:val="18"/>
              </w:rPr>
            </w:pPr>
            <w:r w:rsidRPr="00FE16A7">
              <w:rPr>
                <w:rFonts w:ascii="宋体" w:hAnsi="宋体" w:hint="eastAsia"/>
                <w:kern w:val="0"/>
                <w:sz w:val="18"/>
                <w:szCs w:val="18"/>
              </w:rPr>
              <w:t>设备类</w:t>
            </w:r>
          </w:p>
        </w:tc>
        <w:tc>
          <w:tcPr>
            <w:tcW w:w="217" w:type="pct"/>
            <w:shd w:val="clear" w:color="auto" w:fill="auto"/>
            <w:noWrap/>
            <w:vAlign w:val="center"/>
            <w:hideMark/>
          </w:tcPr>
          <w:p w:rsidR="008D52A6" w:rsidRPr="00FE16A7" w:rsidRDefault="008D52A6" w:rsidP="008F2D41">
            <w:pPr>
              <w:widowControl/>
              <w:jc w:val="center"/>
              <w:rPr>
                <w:kern w:val="0"/>
                <w:sz w:val="18"/>
                <w:szCs w:val="18"/>
              </w:rPr>
            </w:pPr>
            <w:r w:rsidRPr="00FE16A7">
              <w:rPr>
                <w:kern w:val="0"/>
                <w:sz w:val="18"/>
                <w:szCs w:val="18"/>
              </w:rPr>
              <w:t xml:space="preserve">7 </w:t>
            </w:r>
          </w:p>
        </w:tc>
        <w:tc>
          <w:tcPr>
            <w:tcW w:w="865" w:type="pct"/>
            <w:shd w:val="clear" w:color="auto" w:fill="auto"/>
            <w:noWrap/>
            <w:vAlign w:val="center"/>
            <w:hideMark/>
          </w:tcPr>
          <w:p w:rsidR="008D52A6" w:rsidRPr="00FE16A7" w:rsidRDefault="008D52A6" w:rsidP="008F2D41">
            <w:pPr>
              <w:widowControl/>
              <w:jc w:val="right"/>
              <w:rPr>
                <w:kern w:val="0"/>
                <w:sz w:val="18"/>
                <w:szCs w:val="18"/>
              </w:rPr>
            </w:pPr>
            <w:r w:rsidRPr="00FE16A7">
              <w:rPr>
                <w:kern w:val="0"/>
                <w:sz w:val="18"/>
                <w:szCs w:val="18"/>
              </w:rPr>
              <w:t>20,711.39</w:t>
            </w:r>
          </w:p>
        </w:tc>
        <w:tc>
          <w:tcPr>
            <w:tcW w:w="865" w:type="pct"/>
            <w:shd w:val="clear" w:color="auto" w:fill="auto"/>
            <w:noWrap/>
            <w:vAlign w:val="center"/>
            <w:hideMark/>
          </w:tcPr>
          <w:p w:rsidR="008D52A6" w:rsidRPr="00FE16A7" w:rsidRDefault="008D52A6" w:rsidP="008F2D41">
            <w:pPr>
              <w:widowControl/>
              <w:jc w:val="right"/>
              <w:rPr>
                <w:kern w:val="0"/>
                <w:sz w:val="18"/>
                <w:szCs w:val="18"/>
              </w:rPr>
            </w:pPr>
            <w:r w:rsidRPr="00FE16A7">
              <w:rPr>
                <w:kern w:val="0"/>
                <w:sz w:val="18"/>
                <w:szCs w:val="18"/>
              </w:rPr>
              <w:t>27,760.55</w:t>
            </w:r>
          </w:p>
        </w:tc>
        <w:tc>
          <w:tcPr>
            <w:tcW w:w="865" w:type="pct"/>
            <w:shd w:val="clear" w:color="auto" w:fill="auto"/>
            <w:noWrap/>
            <w:vAlign w:val="center"/>
            <w:hideMark/>
          </w:tcPr>
          <w:p w:rsidR="008D52A6" w:rsidRPr="00FE16A7" w:rsidRDefault="008D52A6" w:rsidP="008F2D41">
            <w:pPr>
              <w:widowControl/>
              <w:jc w:val="right"/>
              <w:rPr>
                <w:kern w:val="0"/>
                <w:sz w:val="18"/>
                <w:szCs w:val="18"/>
              </w:rPr>
            </w:pPr>
            <w:r w:rsidRPr="00FE16A7">
              <w:rPr>
                <w:kern w:val="0"/>
                <w:sz w:val="18"/>
                <w:szCs w:val="18"/>
              </w:rPr>
              <w:t>7,049.16</w:t>
            </w:r>
          </w:p>
        </w:tc>
        <w:tc>
          <w:tcPr>
            <w:tcW w:w="865" w:type="pct"/>
            <w:shd w:val="clear" w:color="auto" w:fill="auto"/>
            <w:noWrap/>
            <w:vAlign w:val="center"/>
            <w:hideMark/>
          </w:tcPr>
          <w:p w:rsidR="008D52A6" w:rsidRPr="00FE16A7" w:rsidRDefault="008D52A6" w:rsidP="008F2D41">
            <w:pPr>
              <w:widowControl/>
              <w:jc w:val="right"/>
              <w:rPr>
                <w:kern w:val="0"/>
                <w:sz w:val="18"/>
                <w:szCs w:val="18"/>
              </w:rPr>
            </w:pPr>
            <w:r w:rsidRPr="00FE16A7">
              <w:rPr>
                <w:kern w:val="0"/>
                <w:sz w:val="18"/>
                <w:szCs w:val="18"/>
              </w:rPr>
              <w:t>34.04</w:t>
            </w:r>
          </w:p>
        </w:tc>
      </w:tr>
      <w:tr w:rsidR="008D52A6" w:rsidRPr="00FE16A7" w:rsidTr="008F2D41">
        <w:trPr>
          <w:trHeight w:val="360"/>
        </w:trPr>
        <w:tc>
          <w:tcPr>
            <w:tcW w:w="415" w:type="pct"/>
            <w:shd w:val="clear" w:color="auto" w:fill="auto"/>
            <w:noWrap/>
            <w:vAlign w:val="center"/>
            <w:hideMark/>
          </w:tcPr>
          <w:p w:rsidR="008D52A6" w:rsidRPr="00FE16A7" w:rsidRDefault="008D52A6" w:rsidP="008F2D41">
            <w:pPr>
              <w:widowControl/>
              <w:jc w:val="left"/>
              <w:rPr>
                <w:kern w:val="0"/>
                <w:sz w:val="18"/>
                <w:szCs w:val="18"/>
              </w:rPr>
            </w:pPr>
            <w:r w:rsidRPr="00FE16A7">
              <w:rPr>
                <w:kern w:val="0"/>
                <w:sz w:val="18"/>
                <w:szCs w:val="18"/>
              </w:rPr>
              <w:t xml:space="preserve">　</w:t>
            </w:r>
          </w:p>
        </w:tc>
        <w:tc>
          <w:tcPr>
            <w:tcW w:w="908" w:type="pct"/>
            <w:shd w:val="clear" w:color="auto" w:fill="auto"/>
            <w:noWrap/>
            <w:vAlign w:val="center"/>
            <w:hideMark/>
          </w:tcPr>
          <w:p w:rsidR="008D52A6" w:rsidRPr="00FE16A7" w:rsidRDefault="008D52A6" w:rsidP="008F2D41">
            <w:pPr>
              <w:widowControl/>
              <w:jc w:val="left"/>
              <w:rPr>
                <w:kern w:val="0"/>
                <w:sz w:val="18"/>
                <w:szCs w:val="18"/>
              </w:rPr>
            </w:pPr>
            <w:r w:rsidRPr="00FE16A7">
              <w:rPr>
                <w:rFonts w:ascii="宋体" w:hAnsi="宋体" w:hint="eastAsia"/>
                <w:kern w:val="0"/>
                <w:sz w:val="18"/>
                <w:szCs w:val="18"/>
              </w:rPr>
              <w:t>在建工程</w:t>
            </w:r>
          </w:p>
        </w:tc>
        <w:tc>
          <w:tcPr>
            <w:tcW w:w="217" w:type="pct"/>
            <w:shd w:val="clear" w:color="auto" w:fill="auto"/>
            <w:noWrap/>
            <w:vAlign w:val="center"/>
            <w:hideMark/>
          </w:tcPr>
          <w:p w:rsidR="008D52A6" w:rsidRPr="00FE16A7" w:rsidRDefault="008D52A6" w:rsidP="008F2D41">
            <w:pPr>
              <w:widowControl/>
              <w:jc w:val="center"/>
              <w:rPr>
                <w:kern w:val="0"/>
                <w:sz w:val="18"/>
                <w:szCs w:val="18"/>
              </w:rPr>
            </w:pPr>
            <w:r w:rsidRPr="00FE16A7">
              <w:rPr>
                <w:kern w:val="0"/>
                <w:sz w:val="18"/>
                <w:szCs w:val="18"/>
              </w:rPr>
              <w:t xml:space="preserve">8 </w:t>
            </w:r>
          </w:p>
        </w:tc>
        <w:tc>
          <w:tcPr>
            <w:tcW w:w="865" w:type="pct"/>
            <w:shd w:val="clear" w:color="auto" w:fill="auto"/>
            <w:noWrap/>
            <w:vAlign w:val="center"/>
            <w:hideMark/>
          </w:tcPr>
          <w:p w:rsidR="008D52A6" w:rsidRPr="00FE16A7" w:rsidRDefault="008D52A6" w:rsidP="008F2D41">
            <w:pPr>
              <w:widowControl/>
              <w:jc w:val="right"/>
              <w:rPr>
                <w:kern w:val="0"/>
                <w:sz w:val="18"/>
                <w:szCs w:val="18"/>
              </w:rPr>
            </w:pPr>
            <w:r w:rsidRPr="00FE16A7">
              <w:rPr>
                <w:kern w:val="0"/>
                <w:sz w:val="18"/>
                <w:szCs w:val="18"/>
              </w:rPr>
              <w:t>14,557.20</w:t>
            </w:r>
          </w:p>
        </w:tc>
        <w:tc>
          <w:tcPr>
            <w:tcW w:w="865" w:type="pct"/>
            <w:shd w:val="clear" w:color="auto" w:fill="auto"/>
            <w:noWrap/>
            <w:vAlign w:val="center"/>
            <w:hideMark/>
          </w:tcPr>
          <w:p w:rsidR="008D52A6" w:rsidRPr="00FE16A7" w:rsidRDefault="008D52A6" w:rsidP="008F2D41">
            <w:pPr>
              <w:widowControl/>
              <w:jc w:val="right"/>
              <w:rPr>
                <w:kern w:val="0"/>
                <w:sz w:val="18"/>
                <w:szCs w:val="18"/>
              </w:rPr>
            </w:pPr>
            <w:r w:rsidRPr="00FE16A7">
              <w:rPr>
                <w:kern w:val="0"/>
                <w:sz w:val="18"/>
                <w:szCs w:val="18"/>
              </w:rPr>
              <w:t>14,617.94</w:t>
            </w:r>
          </w:p>
        </w:tc>
        <w:tc>
          <w:tcPr>
            <w:tcW w:w="865" w:type="pct"/>
            <w:shd w:val="clear" w:color="auto" w:fill="auto"/>
            <w:noWrap/>
            <w:vAlign w:val="center"/>
            <w:hideMark/>
          </w:tcPr>
          <w:p w:rsidR="008D52A6" w:rsidRPr="00FE16A7" w:rsidRDefault="008D52A6" w:rsidP="008F2D41">
            <w:pPr>
              <w:widowControl/>
              <w:jc w:val="right"/>
              <w:rPr>
                <w:kern w:val="0"/>
                <w:sz w:val="18"/>
                <w:szCs w:val="18"/>
              </w:rPr>
            </w:pPr>
            <w:r w:rsidRPr="00FE16A7">
              <w:rPr>
                <w:kern w:val="0"/>
                <w:sz w:val="18"/>
                <w:szCs w:val="18"/>
              </w:rPr>
              <w:t>60.74</w:t>
            </w:r>
          </w:p>
        </w:tc>
        <w:tc>
          <w:tcPr>
            <w:tcW w:w="865" w:type="pct"/>
            <w:shd w:val="clear" w:color="auto" w:fill="auto"/>
            <w:noWrap/>
            <w:vAlign w:val="center"/>
            <w:hideMark/>
          </w:tcPr>
          <w:p w:rsidR="008D52A6" w:rsidRPr="00FE16A7" w:rsidRDefault="008D52A6" w:rsidP="008F2D41">
            <w:pPr>
              <w:widowControl/>
              <w:jc w:val="right"/>
              <w:rPr>
                <w:kern w:val="0"/>
                <w:sz w:val="18"/>
                <w:szCs w:val="18"/>
              </w:rPr>
            </w:pPr>
            <w:r w:rsidRPr="00FE16A7">
              <w:rPr>
                <w:kern w:val="0"/>
                <w:sz w:val="18"/>
                <w:szCs w:val="18"/>
              </w:rPr>
              <w:t>0.42</w:t>
            </w:r>
          </w:p>
        </w:tc>
      </w:tr>
      <w:tr w:rsidR="008D52A6" w:rsidRPr="00FE16A7" w:rsidTr="008F2D41">
        <w:trPr>
          <w:trHeight w:val="360"/>
        </w:trPr>
        <w:tc>
          <w:tcPr>
            <w:tcW w:w="415" w:type="pct"/>
            <w:shd w:val="clear" w:color="auto" w:fill="auto"/>
            <w:noWrap/>
            <w:vAlign w:val="center"/>
            <w:hideMark/>
          </w:tcPr>
          <w:p w:rsidR="008D52A6" w:rsidRPr="00FE16A7" w:rsidRDefault="008D52A6" w:rsidP="008F2D41">
            <w:pPr>
              <w:widowControl/>
              <w:jc w:val="left"/>
              <w:rPr>
                <w:kern w:val="0"/>
                <w:sz w:val="18"/>
                <w:szCs w:val="18"/>
              </w:rPr>
            </w:pPr>
            <w:r w:rsidRPr="00FE16A7">
              <w:rPr>
                <w:kern w:val="0"/>
                <w:sz w:val="18"/>
                <w:szCs w:val="18"/>
              </w:rPr>
              <w:t xml:space="preserve">　</w:t>
            </w:r>
          </w:p>
        </w:tc>
        <w:tc>
          <w:tcPr>
            <w:tcW w:w="908" w:type="pct"/>
            <w:shd w:val="clear" w:color="auto" w:fill="auto"/>
            <w:noWrap/>
            <w:vAlign w:val="center"/>
            <w:hideMark/>
          </w:tcPr>
          <w:p w:rsidR="008D52A6" w:rsidRPr="00FE16A7" w:rsidRDefault="008D52A6" w:rsidP="008F2D41">
            <w:pPr>
              <w:widowControl/>
              <w:jc w:val="left"/>
              <w:rPr>
                <w:kern w:val="0"/>
                <w:sz w:val="18"/>
                <w:szCs w:val="18"/>
              </w:rPr>
            </w:pPr>
            <w:r w:rsidRPr="00FE16A7">
              <w:rPr>
                <w:rFonts w:ascii="宋体" w:hAnsi="宋体" w:hint="eastAsia"/>
                <w:kern w:val="0"/>
                <w:sz w:val="18"/>
                <w:szCs w:val="18"/>
              </w:rPr>
              <w:t>无形资产</w:t>
            </w:r>
          </w:p>
        </w:tc>
        <w:tc>
          <w:tcPr>
            <w:tcW w:w="217" w:type="pct"/>
            <w:shd w:val="clear" w:color="auto" w:fill="auto"/>
            <w:noWrap/>
            <w:vAlign w:val="center"/>
            <w:hideMark/>
          </w:tcPr>
          <w:p w:rsidR="008D52A6" w:rsidRPr="00FE16A7" w:rsidRDefault="008D52A6" w:rsidP="008F2D41">
            <w:pPr>
              <w:widowControl/>
              <w:jc w:val="center"/>
              <w:rPr>
                <w:kern w:val="0"/>
                <w:sz w:val="18"/>
                <w:szCs w:val="18"/>
              </w:rPr>
            </w:pPr>
            <w:r w:rsidRPr="00FE16A7">
              <w:rPr>
                <w:kern w:val="0"/>
                <w:sz w:val="18"/>
                <w:szCs w:val="18"/>
              </w:rPr>
              <w:t xml:space="preserve">9 </w:t>
            </w:r>
          </w:p>
        </w:tc>
        <w:tc>
          <w:tcPr>
            <w:tcW w:w="865" w:type="pct"/>
            <w:shd w:val="clear" w:color="auto" w:fill="auto"/>
            <w:noWrap/>
            <w:vAlign w:val="center"/>
            <w:hideMark/>
          </w:tcPr>
          <w:p w:rsidR="008D52A6" w:rsidRPr="00FE16A7" w:rsidRDefault="008D52A6" w:rsidP="008F2D41">
            <w:pPr>
              <w:widowControl/>
              <w:jc w:val="right"/>
              <w:rPr>
                <w:kern w:val="0"/>
                <w:sz w:val="18"/>
                <w:szCs w:val="18"/>
              </w:rPr>
            </w:pPr>
            <w:r w:rsidRPr="00FE16A7">
              <w:rPr>
                <w:kern w:val="0"/>
                <w:sz w:val="18"/>
                <w:szCs w:val="18"/>
              </w:rPr>
              <w:t>1,702.99</w:t>
            </w:r>
          </w:p>
        </w:tc>
        <w:tc>
          <w:tcPr>
            <w:tcW w:w="865" w:type="pct"/>
            <w:shd w:val="clear" w:color="auto" w:fill="auto"/>
            <w:noWrap/>
            <w:vAlign w:val="center"/>
            <w:hideMark/>
          </w:tcPr>
          <w:p w:rsidR="008D52A6" w:rsidRPr="00FE16A7" w:rsidRDefault="008D52A6" w:rsidP="008F2D41">
            <w:pPr>
              <w:widowControl/>
              <w:jc w:val="right"/>
              <w:rPr>
                <w:kern w:val="0"/>
                <w:sz w:val="18"/>
                <w:szCs w:val="18"/>
              </w:rPr>
            </w:pPr>
            <w:r w:rsidRPr="00FE16A7">
              <w:rPr>
                <w:kern w:val="0"/>
                <w:sz w:val="18"/>
                <w:szCs w:val="18"/>
              </w:rPr>
              <w:t>1,642.13</w:t>
            </w:r>
          </w:p>
        </w:tc>
        <w:tc>
          <w:tcPr>
            <w:tcW w:w="865" w:type="pct"/>
            <w:shd w:val="clear" w:color="auto" w:fill="auto"/>
            <w:noWrap/>
            <w:vAlign w:val="center"/>
            <w:hideMark/>
          </w:tcPr>
          <w:p w:rsidR="008D52A6" w:rsidRPr="00FE16A7" w:rsidRDefault="008D52A6" w:rsidP="008F2D41">
            <w:pPr>
              <w:widowControl/>
              <w:jc w:val="right"/>
              <w:rPr>
                <w:kern w:val="0"/>
                <w:sz w:val="18"/>
                <w:szCs w:val="18"/>
              </w:rPr>
            </w:pPr>
            <w:r w:rsidRPr="00FE16A7">
              <w:rPr>
                <w:kern w:val="0"/>
                <w:sz w:val="18"/>
                <w:szCs w:val="18"/>
              </w:rPr>
              <w:t>-60.86</w:t>
            </w:r>
          </w:p>
        </w:tc>
        <w:tc>
          <w:tcPr>
            <w:tcW w:w="865" w:type="pct"/>
            <w:shd w:val="clear" w:color="auto" w:fill="auto"/>
            <w:noWrap/>
            <w:vAlign w:val="center"/>
            <w:hideMark/>
          </w:tcPr>
          <w:p w:rsidR="008D52A6" w:rsidRPr="00FE16A7" w:rsidRDefault="008D52A6" w:rsidP="008F2D41">
            <w:pPr>
              <w:widowControl/>
              <w:jc w:val="right"/>
              <w:rPr>
                <w:kern w:val="0"/>
                <w:sz w:val="18"/>
                <w:szCs w:val="18"/>
              </w:rPr>
            </w:pPr>
            <w:r w:rsidRPr="00FE16A7">
              <w:rPr>
                <w:kern w:val="0"/>
                <w:sz w:val="18"/>
                <w:szCs w:val="18"/>
              </w:rPr>
              <w:t>-3.57</w:t>
            </w:r>
          </w:p>
        </w:tc>
      </w:tr>
      <w:tr w:rsidR="008D52A6" w:rsidRPr="00FE16A7" w:rsidTr="008F2D41">
        <w:trPr>
          <w:trHeight w:val="360"/>
        </w:trPr>
        <w:tc>
          <w:tcPr>
            <w:tcW w:w="415" w:type="pct"/>
            <w:shd w:val="clear" w:color="auto" w:fill="auto"/>
            <w:noWrap/>
            <w:vAlign w:val="center"/>
            <w:hideMark/>
          </w:tcPr>
          <w:p w:rsidR="008D52A6" w:rsidRPr="00FE16A7" w:rsidRDefault="008D52A6" w:rsidP="008F2D41">
            <w:pPr>
              <w:widowControl/>
              <w:jc w:val="left"/>
              <w:rPr>
                <w:kern w:val="0"/>
                <w:sz w:val="18"/>
                <w:szCs w:val="18"/>
              </w:rPr>
            </w:pPr>
            <w:r w:rsidRPr="00FE16A7">
              <w:rPr>
                <w:kern w:val="0"/>
                <w:sz w:val="18"/>
                <w:szCs w:val="18"/>
              </w:rPr>
              <w:t xml:space="preserve">　</w:t>
            </w:r>
          </w:p>
        </w:tc>
        <w:tc>
          <w:tcPr>
            <w:tcW w:w="908" w:type="pct"/>
            <w:shd w:val="clear" w:color="auto" w:fill="auto"/>
            <w:noWrap/>
            <w:vAlign w:val="center"/>
            <w:hideMark/>
          </w:tcPr>
          <w:p w:rsidR="008D52A6" w:rsidRPr="00FE16A7" w:rsidRDefault="008D52A6" w:rsidP="008F2D41">
            <w:pPr>
              <w:widowControl/>
              <w:jc w:val="left"/>
              <w:rPr>
                <w:kern w:val="0"/>
                <w:sz w:val="18"/>
                <w:szCs w:val="18"/>
              </w:rPr>
            </w:pPr>
            <w:r w:rsidRPr="00FE16A7">
              <w:rPr>
                <w:rFonts w:ascii="宋体" w:hAnsi="宋体" w:hint="eastAsia"/>
                <w:kern w:val="0"/>
                <w:sz w:val="18"/>
                <w:szCs w:val="18"/>
              </w:rPr>
              <w:t>其中：土地使用权</w:t>
            </w:r>
          </w:p>
        </w:tc>
        <w:tc>
          <w:tcPr>
            <w:tcW w:w="217" w:type="pct"/>
            <w:shd w:val="clear" w:color="auto" w:fill="auto"/>
            <w:noWrap/>
            <w:vAlign w:val="center"/>
            <w:hideMark/>
          </w:tcPr>
          <w:p w:rsidR="008D52A6" w:rsidRPr="00FE16A7" w:rsidRDefault="008D52A6" w:rsidP="008F2D41">
            <w:pPr>
              <w:widowControl/>
              <w:jc w:val="center"/>
              <w:rPr>
                <w:kern w:val="0"/>
                <w:sz w:val="18"/>
                <w:szCs w:val="18"/>
              </w:rPr>
            </w:pPr>
            <w:r w:rsidRPr="00FE16A7">
              <w:rPr>
                <w:kern w:val="0"/>
                <w:sz w:val="18"/>
                <w:szCs w:val="18"/>
              </w:rPr>
              <w:t xml:space="preserve">10 </w:t>
            </w:r>
          </w:p>
        </w:tc>
        <w:tc>
          <w:tcPr>
            <w:tcW w:w="865" w:type="pct"/>
            <w:shd w:val="clear" w:color="auto" w:fill="auto"/>
            <w:noWrap/>
            <w:vAlign w:val="center"/>
            <w:hideMark/>
          </w:tcPr>
          <w:p w:rsidR="008D52A6" w:rsidRPr="00FE16A7" w:rsidRDefault="008D52A6" w:rsidP="008F2D41">
            <w:pPr>
              <w:widowControl/>
              <w:jc w:val="right"/>
              <w:rPr>
                <w:kern w:val="0"/>
                <w:sz w:val="18"/>
                <w:szCs w:val="18"/>
              </w:rPr>
            </w:pPr>
            <w:r w:rsidRPr="00FE16A7">
              <w:rPr>
                <w:kern w:val="0"/>
                <w:sz w:val="18"/>
                <w:szCs w:val="18"/>
              </w:rPr>
              <w:t>1,701.67</w:t>
            </w:r>
          </w:p>
        </w:tc>
        <w:tc>
          <w:tcPr>
            <w:tcW w:w="865" w:type="pct"/>
            <w:shd w:val="clear" w:color="auto" w:fill="auto"/>
            <w:noWrap/>
            <w:vAlign w:val="center"/>
            <w:hideMark/>
          </w:tcPr>
          <w:p w:rsidR="008D52A6" w:rsidRPr="00FE16A7" w:rsidRDefault="008D52A6" w:rsidP="008F2D41">
            <w:pPr>
              <w:widowControl/>
              <w:jc w:val="right"/>
              <w:rPr>
                <w:kern w:val="0"/>
                <w:sz w:val="18"/>
                <w:szCs w:val="18"/>
              </w:rPr>
            </w:pPr>
            <w:r w:rsidRPr="00FE16A7">
              <w:rPr>
                <w:kern w:val="0"/>
                <w:sz w:val="18"/>
                <w:szCs w:val="18"/>
              </w:rPr>
              <w:t>1,641.40</w:t>
            </w:r>
          </w:p>
        </w:tc>
        <w:tc>
          <w:tcPr>
            <w:tcW w:w="865" w:type="pct"/>
            <w:shd w:val="clear" w:color="auto" w:fill="auto"/>
            <w:noWrap/>
            <w:vAlign w:val="center"/>
            <w:hideMark/>
          </w:tcPr>
          <w:p w:rsidR="008D52A6" w:rsidRPr="00FE16A7" w:rsidRDefault="008D52A6" w:rsidP="008F2D41">
            <w:pPr>
              <w:widowControl/>
              <w:jc w:val="right"/>
              <w:rPr>
                <w:kern w:val="0"/>
                <w:sz w:val="18"/>
                <w:szCs w:val="18"/>
              </w:rPr>
            </w:pPr>
            <w:r w:rsidRPr="00FE16A7">
              <w:rPr>
                <w:kern w:val="0"/>
                <w:sz w:val="18"/>
                <w:szCs w:val="18"/>
              </w:rPr>
              <w:t>-60.27</w:t>
            </w:r>
          </w:p>
        </w:tc>
        <w:tc>
          <w:tcPr>
            <w:tcW w:w="865" w:type="pct"/>
            <w:shd w:val="clear" w:color="auto" w:fill="auto"/>
            <w:noWrap/>
            <w:vAlign w:val="center"/>
            <w:hideMark/>
          </w:tcPr>
          <w:p w:rsidR="008D52A6" w:rsidRPr="00FE16A7" w:rsidRDefault="008D52A6" w:rsidP="008F2D41">
            <w:pPr>
              <w:widowControl/>
              <w:jc w:val="right"/>
              <w:rPr>
                <w:rFonts w:ascii="宋体" w:hAnsi="宋体"/>
                <w:color w:val="FFFFFF"/>
                <w:kern w:val="0"/>
                <w:sz w:val="18"/>
                <w:szCs w:val="18"/>
              </w:rPr>
            </w:pPr>
            <w:r w:rsidRPr="00FE16A7">
              <w:rPr>
                <w:rFonts w:ascii="宋体" w:hAnsi="宋体" w:hint="eastAsia"/>
                <w:color w:val="FFFFFF"/>
                <w:kern w:val="0"/>
                <w:sz w:val="18"/>
                <w:szCs w:val="18"/>
              </w:rPr>
              <w:t>0.00</w:t>
            </w:r>
          </w:p>
        </w:tc>
      </w:tr>
      <w:tr w:rsidR="008D52A6" w:rsidRPr="00FE16A7" w:rsidTr="008F2D41">
        <w:trPr>
          <w:trHeight w:val="360"/>
        </w:trPr>
        <w:tc>
          <w:tcPr>
            <w:tcW w:w="415" w:type="pct"/>
            <w:shd w:val="clear" w:color="auto" w:fill="auto"/>
            <w:noWrap/>
            <w:vAlign w:val="center"/>
            <w:hideMark/>
          </w:tcPr>
          <w:p w:rsidR="008D52A6" w:rsidRPr="00FE16A7" w:rsidRDefault="008D52A6" w:rsidP="008F2D41">
            <w:pPr>
              <w:widowControl/>
              <w:jc w:val="left"/>
              <w:rPr>
                <w:rFonts w:hint="eastAsia"/>
                <w:kern w:val="0"/>
                <w:sz w:val="18"/>
                <w:szCs w:val="18"/>
              </w:rPr>
            </w:pPr>
            <w:r w:rsidRPr="00FE16A7">
              <w:rPr>
                <w:kern w:val="0"/>
                <w:sz w:val="18"/>
                <w:szCs w:val="18"/>
              </w:rPr>
              <w:t xml:space="preserve">　</w:t>
            </w:r>
          </w:p>
        </w:tc>
        <w:tc>
          <w:tcPr>
            <w:tcW w:w="908" w:type="pct"/>
            <w:shd w:val="clear" w:color="auto" w:fill="auto"/>
            <w:noWrap/>
            <w:vAlign w:val="center"/>
            <w:hideMark/>
          </w:tcPr>
          <w:p w:rsidR="008D52A6" w:rsidRPr="00FE16A7" w:rsidRDefault="008D52A6" w:rsidP="008F2D41">
            <w:pPr>
              <w:widowControl/>
              <w:jc w:val="left"/>
              <w:rPr>
                <w:kern w:val="0"/>
                <w:sz w:val="18"/>
                <w:szCs w:val="18"/>
              </w:rPr>
            </w:pPr>
            <w:r w:rsidRPr="00FE16A7">
              <w:rPr>
                <w:rFonts w:ascii="宋体" w:hAnsi="宋体" w:hint="eastAsia"/>
                <w:kern w:val="0"/>
                <w:sz w:val="18"/>
                <w:szCs w:val="18"/>
              </w:rPr>
              <w:t>其他非流动资产</w:t>
            </w:r>
          </w:p>
        </w:tc>
        <w:tc>
          <w:tcPr>
            <w:tcW w:w="217" w:type="pct"/>
            <w:shd w:val="clear" w:color="auto" w:fill="auto"/>
            <w:noWrap/>
            <w:vAlign w:val="center"/>
            <w:hideMark/>
          </w:tcPr>
          <w:p w:rsidR="008D52A6" w:rsidRPr="00FE16A7" w:rsidRDefault="008D52A6" w:rsidP="008F2D41">
            <w:pPr>
              <w:widowControl/>
              <w:jc w:val="center"/>
              <w:rPr>
                <w:kern w:val="0"/>
                <w:sz w:val="18"/>
                <w:szCs w:val="18"/>
              </w:rPr>
            </w:pPr>
            <w:r w:rsidRPr="00FE16A7">
              <w:rPr>
                <w:kern w:val="0"/>
                <w:sz w:val="18"/>
                <w:szCs w:val="18"/>
              </w:rPr>
              <w:t xml:space="preserve">11 </w:t>
            </w:r>
          </w:p>
        </w:tc>
        <w:tc>
          <w:tcPr>
            <w:tcW w:w="865" w:type="pct"/>
            <w:shd w:val="clear" w:color="auto" w:fill="auto"/>
            <w:noWrap/>
            <w:vAlign w:val="center"/>
            <w:hideMark/>
          </w:tcPr>
          <w:p w:rsidR="008D52A6" w:rsidRPr="00FE16A7" w:rsidRDefault="008D52A6" w:rsidP="008F2D41">
            <w:pPr>
              <w:widowControl/>
              <w:jc w:val="right"/>
              <w:rPr>
                <w:kern w:val="0"/>
                <w:sz w:val="18"/>
                <w:szCs w:val="18"/>
              </w:rPr>
            </w:pPr>
            <w:r w:rsidRPr="00FE16A7">
              <w:rPr>
                <w:kern w:val="0"/>
                <w:sz w:val="18"/>
                <w:szCs w:val="18"/>
              </w:rPr>
              <w:t>102,284.88</w:t>
            </w:r>
          </w:p>
        </w:tc>
        <w:tc>
          <w:tcPr>
            <w:tcW w:w="865" w:type="pct"/>
            <w:shd w:val="clear" w:color="auto" w:fill="auto"/>
            <w:noWrap/>
            <w:vAlign w:val="center"/>
            <w:hideMark/>
          </w:tcPr>
          <w:p w:rsidR="008D52A6" w:rsidRPr="00FE16A7" w:rsidRDefault="008D52A6" w:rsidP="008F2D41">
            <w:pPr>
              <w:widowControl/>
              <w:jc w:val="right"/>
              <w:rPr>
                <w:kern w:val="0"/>
                <w:sz w:val="18"/>
                <w:szCs w:val="18"/>
              </w:rPr>
            </w:pPr>
            <w:r w:rsidRPr="00FE16A7">
              <w:rPr>
                <w:kern w:val="0"/>
                <w:sz w:val="18"/>
                <w:szCs w:val="18"/>
              </w:rPr>
              <w:t>28,319.23</w:t>
            </w:r>
          </w:p>
        </w:tc>
        <w:tc>
          <w:tcPr>
            <w:tcW w:w="865" w:type="pct"/>
            <w:shd w:val="clear" w:color="auto" w:fill="auto"/>
            <w:noWrap/>
            <w:vAlign w:val="center"/>
            <w:hideMark/>
          </w:tcPr>
          <w:p w:rsidR="008D52A6" w:rsidRPr="00FE16A7" w:rsidRDefault="008D52A6" w:rsidP="008F2D41">
            <w:pPr>
              <w:widowControl/>
              <w:jc w:val="right"/>
              <w:rPr>
                <w:kern w:val="0"/>
                <w:sz w:val="18"/>
                <w:szCs w:val="18"/>
              </w:rPr>
            </w:pPr>
            <w:r w:rsidRPr="00FE16A7">
              <w:rPr>
                <w:kern w:val="0"/>
                <w:sz w:val="18"/>
                <w:szCs w:val="18"/>
              </w:rPr>
              <w:t>-73,965.65</w:t>
            </w:r>
          </w:p>
        </w:tc>
        <w:tc>
          <w:tcPr>
            <w:tcW w:w="865" w:type="pct"/>
            <w:shd w:val="clear" w:color="auto" w:fill="auto"/>
            <w:noWrap/>
            <w:vAlign w:val="center"/>
            <w:hideMark/>
          </w:tcPr>
          <w:p w:rsidR="008D52A6" w:rsidRPr="00FE16A7" w:rsidRDefault="008D52A6" w:rsidP="008F2D41">
            <w:pPr>
              <w:widowControl/>
              <w:jc w:val="right"/>
              <w:rPr>
                <w:kern w:val="0"/>
                <w:sz w:val="18"/>
                <w:szCs w:val="18"/>
              </w:rPr>
            </w:pPr>
          </w:p>
        </w:tc>
      </w:tr>
      <w:tr w:rsidR="008D52A6" w:rsidRPr="00FE16A7" w:rsidTr="008F2D41">
        <w:trPr>
          <w:trHeight w:val="360"/>
        </w:trPr>
        <w:tc>
          <w:tcPr>
            <w:tcW w:w="1323" w:type="pct"/>
            <w:gridSpan w:val="2"/>
            <w:shd w:val="clear" w:color="auto" w:fill="auto"/>
            <w:noWrap/>
            <w:vAlign w:val="center"/>
            <w:hideMark/>
          </w:tcPr>
          <w:p w:rsidR="008D52A6" w:rsidRPr="00FE16A7" w:rsidRDefault="008D52A6" w:rsidP="008F2D41">
            <w:pPr>
              <w:widowControl/>
              <w:jc w:val="center"/>
              <w:rPr>
                <w:b/>
                <w:bCs/>
                <w:kern w:val="0"/>
                <w:sz w:val="18"/>
                <w:szCs w:val="18"/>
              </w:rPr>
            </w:pPr>
            <w:r w:rsidRPr="00FE16A7">
              <w:rPr>
                <w:rFonts w:ascii="宋体" w:hAnsi="宋体" w:hint="eastAsia"/>
                <w:b/>
                <w:bCs/>
                <w:kern w:val="0"/>
                <w:sz w:val="18"/>
                <w:szCs w:val="18"/>
              </w:rPr>
              <w:t>资产总计</w:t>
            </w:r>
          </w:p>
        </w:tc>
        <w:tc>
          <w:tcPr>
            <w:tcW w:w="217" w:type="pct"/>
            <w:shd w:val="clear" w:color="auto" w:fill="auto"/>
            <w:noWrap/>
            <w:vAlign w:val="center"/>
            <w:hideMark/>
          </w:tcPr>
          <w:p w:rsidR="008D52A6" w:rsidRPr="00FE16A7" w:rsidRDefault="008D52A6" w:rsidP="008F2D41">
            <w:pPr>
              <w:widowControl/>
              <w:jc w:val="center"/>
              <w:rPr>
                <w:b/>
                <w:bCs/>
                <w:kern w:val="0"/>
                <w:sz w:val="18"/>
                <w:szCs w:val="18"/>
              </w:rPr>
            </w:pPr>
            <w:r w:rsidRPr="00FE16A7">
              <w:rPr>
                <w:b/>
                <w:bCs/>
                <w:kern w:val="0"/>
                <w:sz w:val="18"/>
                <w:szCs w:val="18"/>
              </w:rPr>
              <w:t xml:space="preserve">12 </w:t>
            </w:r>
          </w:p>
        </w:tc>
        <w:tc>
          <w:tcPr>
            <w:tcW w:w="865" w:type="pct"/>
            <w:shd w:val="clear" w:color="auto" w:fill="auto"/>
            <w:noWrap/>
            <w:vAlign w:val="center"/>
            <w:hideMark/>
          </w:tcPr>
          <w:p w:rsidR="008D52A6" w:rsidRPr="00FE16A7" w:rsidRDefault="008D52A6" w:rsidP="008F2D41">
            <w:pPr>
              <w:widowControl/>
              <w:jc w:val="right"/>
              <w:rPr>
                <w:b/>
                <w:bCs/>
                <w:kern w:val="0"/>
                <w:sz w:val="18"/>
                <w:szCs w:val="18"/>
              </w:rPr>
            </w:pPr>
            <w:r w:rsidRPr="00FE16A7">
              <w:rPr>
                <w:b/>
                <w:bCs/>
                <w:kern w:val="0"/>
                <w:sz w:val="18"/>
                <w:szCs w:val="18"/>
              </w:rPr>
              <w:t>368,503.48</w:t>
            </w:r>
          </w:p>
        </w:tc>
        <w:tc>
          <w:tcPr>
            <w:tcW w:w="865" w:type="pct"/>
            <w:shd w:val="clear" w:color="auto" w:fill="auto"/>
            <w:noWrap/>
            <w:vAlign w:val="center"/>
            <w:hideMark/>
          </w:tcPr>
          <w:p w:rsidR="008D52A6" w:rsidRPr="00FE16A7" w:rsidRDefault="008D52A6" w:rsidP="008F2D41">
            <w:pPr>
              <w:widowControl/>
              <w:jc w:val="right"/>
              <w:rPr>
                <w:b/>
                <w:bCs/>
                <w:kern w:val="0"/>
                <w:sz w:val="18"/>
                <w:szCs w:val="18"/>
              </w:rPr>
            </w:pPr>
            <w:r w:rsidRPr="00FE16A7">
              <w:rPr>
                <w:b/>
                <w:bCs/>
                <w:kern w:val="0"/>
                <w:sz w:val="18"/>
                <w:szCs w:val="18"/>
              </w:rPr>
              <w:t>345,208.65</w:t>
            </w:r>
          </w:p>
        </w:tc>
        <w:tc>
          <w:tcPr>
            <w:tcW w:w="865" w:type="pct"/>
            <w:shd w:val="clear" w:color="auto" w:fill="auto"/>
            <w:noWrap/>
            <w:vAlign w:val="center"/>
            <w:hideMark/>
          </w:tcPr>
          <w:p w:rsidR="008D52A6" w:rsidRPr="00FE16A7" w:rsidRDefault="008D52A6" w:rsidP="008F2D41">
            <w:pPr>
              <w:widowControl/>
              <w:jc w:val="right"/>
              <w:rPr>
                <w:b/>
                <w:bCs/>
                <w:kern w:val="0"/>
                <w:sz w:val="18"/>
                <w:szCs w:val="18"/>
              </w:rPr>
            </w:pPr>
            <w:r w:rsidRPr="00FE16A7">
              <w:rPr>
                <w:b/>
                <w:bCs/>
                <w:kern w:val="0"/>
                <w:sz w:val="18"/>
                <w:szCs w:val="18"/>
              </w:rPr>
              <w:t>-23,294.83</w:t>
            </w:r>
          </w:p>
        </w:tc>
        <w:tc>
          <w:tcPr>
            <w:tcW w:w="865" w:type="pct"/>
            <w:shd w:val="clear" w:color="auto" w:fill="auto"/>
            <w:noWrap/>
            <w:vAlign w:val="center"/>
            <w:hideMark/>
          </w:tcPr>
          <w:p w:rsidR="008D52A6" w:rsidRPr="00FE16A7" w:rsidRDefault="008D52A6" w:rsidP="008F2D41">
            <w:pPr>
              <w:widowControl/>
              <w:jc w:val="right"/>
              <w:rPr>
                <w:b/>
                <w:bCs/>
                <w:kern w:val="0"/>
                <w:sz w:val="18"/>
                <w:szCs w:val="18"/>
              </w:rPr>
            </w:pPr>
            <w:r w:rsidRPr="00FE16A7">
              <w:rPr>
                <w:b/>
                <w:bCs/>
                <w:kern w:val="0"/>
                <w:sz w:val="18"/>
                <w:szCs w:val="18"/>
              </w:rPr>
              <w:t>-6.32</w:t>
            </w:r>
          </w:p>
        </w:tc>
      </w:tr>
      <w:tr w:rsidR="008D52A6" w:rsidRPr="00FE16A7" w:rsidTr="008F2D41">
        <w:trPr>
          <w:trHeight w:val="360"/>
        </w:trPr>
        <w:tc>
          <w:tcPr>
            <w:tcW w:w="1323" w:type="pct"/>
            <w:gridSpan w:val="2"/>
            <w:shd w:val="clear" w:color="auto" w:fill="auto"/>
            <w:noWrap/>
            <w:vAlign w:val="center"/>
            <w:hideMark/>
          </w:tcPr>
          <w:p w:rsidR="008D52A6" w:rsidRPr="00FE16A7" w:rsidRDefault="008D52A6" w:rsidP="008F2D41">
            <w:pPr>
              <w:widowControl/>
              <w:jc w:val="left"/>
              <w:rPr>
                <w:kern w:val="0"/>
                <w:sz w:val="18"/>
                <w:szCs w:val="18"/>
              </w:rPr>
            </w:pPr>
            <w:r w:rsidRPr="00FE16A7">
              <w:rPr>
                <w:rFonts w:ascii="宋体" w:hAnsi="宋体" w:hint="eastAsia"/>
                <w:kern w:val="0"/>
                <w:sz w:val="18"/>
                <w:szCs w:val="18"/>
              </w:rPr>
              <w:t>流动负债</w:t>
            </w:r>
          </w:p>
        </w:tc>
        <w:tc>
          <w:tcPr>
            <w:tcW w:w="217" w:type="pct"/>
            <w:shd w:val="clear" w:color="auto" w:fill="auto"/>
            <w:noWrap/>
            <w:vAlign w:val="center"/>
            <w:hideMark/>
          </w:tcPr>
          <w:p w:rsidR="008D52A6" w:rsidRPr="00FE16A7" w:rsidRDefault="008D52A6" w:rsidP="008F2D41">
            <w:pPr>
              <w:widowControl/>
              <w:jc w:val="center"/>
              <w:rPr>
                <w:kern w:val="0"/>
                <w:sz w:val="18"/>
                <w:szCs w:val="18"/>
              </w:rPr>
            </w:pPr>
            <w:r w:rsidRPr="00FE16A7">
              <w:rPr>
                <w:kern w:val="0"/>
                <w:sz w:val="18"/>
                <w:szCs w:val="18"/>
              </w:rPr>
              <w:t xml:space="preserve">13 </w:t>
            </w:r>
          </w:p>
        </w:tc>
        <w:tc>
          <w:tcPr>
            <w:tcW w:w="865" w:type="pct"/>
            <w:shd w:val="clear" w:color="auto" w:fill="auto"/>
            <w:noWrap/>
            <w:vAlign w:val="center"/>
            <w:hideMark/>
          </w:tcPr>
          <w:p w:rsidR="008D52A6" w:rsidRPr="00FE16A7" w:rsidRDefault="008D52A6" w:rsidP="008F2D41">
            <w:pPr>
              <w:widowControl/>
              <w:jc w:val="right"/>
              <w:rPr>
                <w:kern w:val="0"/>
                <w:sz w:val="18"/>
                <w:szCs w:val="18"/>
              </w:rPr>
            </w:pPr>
            <w:r w:rsidRPr="00FE16A7">
              <w:rPr>
                <w:kern w:val="0"/>
                <w:sz w:val="18"/>
                <w:szCs w:val="18"/>
              </w:rPr>
              <w:t>86,338.53</w:t>
            </w:r>
          </w:p>
        </w:tc>
        <w:tc>
          <w:tcPr>
            <w:tcW w:w="865" w:type="pct"/>
            <w:shd w:val="clear" w:color="auto" w:fill="auto"/>
            <w:noWrap/>
            <w:vAlign w:val="center"/>
            <w:hideMark/>
          </w:tcPr>
          <w:p w:rsidR="008D52A6" w:rsidRPr="00FE16A7" w:rsidRDefault="008D52A6" w:rsidP="008F2D41">
            <w:pPr>
              <w:widowControl/>
              <w:jc w:val="right"/>
              <w:rPr>
                <w:kern w:val="0"/>
                <w:sz w:val="18"/>
                <w:szCs w:val="18"/>
              </w:rPr>
            </w:pPr>
            <w:r w:rsidRPr="00FE16A7">
              <w:rPr>
                <w:kern w:val="0"/>
                <w:sz w:val="18"/>
                <w:szCs w:val="18"/>
              </w:rPr>
              <w:t>86,338.53</w:t>
            </w:r>
          </w:p>
        </w:tc>
        <w:tc>
          <w:tcPr>
            <w:tcW w:w="865" w:type="pct"/>
            <w:shd w:val="clear" w:color="auto" w:fill="auto"/>
            <w:noWrap/>
            <w:vAlign w:val="center"/>
            <w:hideMark/>
          </w:tcPr>
          <w:p w:rsidR="008D52A6" w:rsidRPr="00FE16A7" w:rsidRDefault="008D52A6" w:rsidP="008F2D41">
            <w:pPr>
              <w:widowControl/>
              <w:jc w:val="right"/>
              <w:rPr>
                <w:rFonts w:ascii="宋体" w:hAnsi="宋体"/>
                <w:color w:val="FFFFFF"/>
                <w:kern w:val="0"/>
                <w:sz w:val="18"/>
                <w:szCs w:val="18"/>
              </w:rPr>
            </w:pPr>
            <w:r w:rsidRPr="00FE16A7">
              <w:rPr>
                <w:rFonts w:ascii="宋体" w:hAnsi="宋体" w:hint="eastAsia"/>
                <w:color w:val="FFFFFF"/>
                <w:kern w:val="0"/>
                <w:sz w:val="18"/>
                <w:szCs w:val="18"/>
              </w:rPr>
              <w:t>0.00</w:t>
            </w:r>
          </w:p>
        </w:tc>
        <w:tc>
          <w:tcPr>
            <w:tcW w:w="865" w:type="pct"/>
            <w:shd w:val="clear" w:color="auto" w:fill="auto"/>
            <w:noWrap/>
            <w:vAlign w:val="center"/>
            <w:hideMark/>
          </w:tcPr>
          <w:p w:rsidR="008D52A6" w:rsidRPr="00FE16A7" w:rsidRDefault="008D52A6" w:rsidP="008F2D41">
            <w:pPr>
              <w:widowControl/>
              <w:jc w:val="right"/>
              <w:rPr>
                <w:rFonts w:ascii="宋体" w:hAnsi="宋体" w:hint="eastAsia"/>
                <w:color w:val="FFFFFF"/>
                <w:kern w:val="0"/>
                <w:sz w:val="18"/>
                <w:szCs w:val="18"/>
              </w:rPr>
            </w:pPr>
            <w:r w:rsidRPr="00FE16A7">
              <w:rPr>
                <w:rFonts w:ascii="宋体" w:hAnsi="宋体" w:hint="eastAsia"/>
                <w:color w:val="FFFFFF"/>
                <w:kern w:val="0"/>
                <w:sz w:val="18"/>
                <w:szCs w:val="18"/>
              </w:rPr>
              <w:t>0.00</w:t>
            </w:r>
          </w:p>
        </w:tc>
      </w:tr>
      <w:tr w:rsidR="008D52A6" w:rsidRPr="00FE16A7" w:rsidTr="008F2D41">
        <w:trPr>
          <w:trHeight w:val="360"/>
        </w:trPr>
        <w:tc>
          <w:tcPr>
            <w:tcW w:w="1323" w:type="pct"/>
            <w:gridSpan w:val="2"/>
            <w:shd w:val="clear" w:color="auto" w:fill="auto"/>
            <w:noWrap/>
            <w:vAlign w:val="center"/>
            <w:hideMark/>
          </w:tcPr>
          <w:p w:rsidR="008D52A6" w:rsidRPr="00FE16A7" w:rsidRDefault="008D52A6" w:rsidP="008F2D41">
            <w:pPr>
              <w:widowControl/>
              <w:jc w:val="left"/>
              <w:rPr>
                <w:rFonts w:hint="eastAsia"/>
                <w:kern w:val="0"/>
                <w:sz w:val="18"/>
                <w:szCs w:val="18"/>
              </w:rPr>
            </w:pPr>
            <w:r w:rsidRPr="00FE16A7">
              <w:rPr>
                <w:rFonts w:ascii="宋体" w:hAnsi="宋体" w:hint="eastAsia"/>
                <w:kern w:val="0"/>
                <w:sz w:val="18"/>
                <w:szCs w:val="18"/>
              </w:rPr>
              <w:lastRenderedPageBreak/>
              <w:t>非流动负债</w:t>
            </w:r>
          </w:p>
        </w:tc>
        <w:tc>
          <w:tcPr>
            <w:tcW w:w="217" w:type="pct"/>
            <w:shd w:val="clear" w:color="auto" w:fill="auto"/>
            <w:noWrap/>
            <w:vAlign w:val="center"/>
            <w:hideMark/>
          </w:tcPr>
          <w:p w:rsidR="008D52A6" w:rsidRPr="00FE16A7" w:rsidRDefault="008D52A6" w:rsidP="008F2D41">
            <w:pPr>
              <w:widowControl/>
              <w:jc w:val="center"/>
              <w:rPr>
                <w:kern w:val="0"/>
                <w:sz w:val="18"/>
                <w:szCs w:val="18"/>
              </w:rPr>
            </w:pPr>
            <w:r w:rsidRPr="00FE16A7">
              <w:rPr>
                <w:kern w:val="0"/>
                <w:sz w:val="18"/>
                <w:szCs w:val="18"/>
              </w:rPr>
              <w:t xml:space="preserve">14 </w:t>
            </w:r>
          </w:p>
        </w:tc>
        <w:tc>
          <w:tcPr>
            <w:tcW w:w="865" w:type="pct"/>
            <w:shd w:val="clear" w:color="auto" w:fill="auto"/>
            <w:noWrap/>
            <w:vAlign w:val="center"/>
            <w:hideMark/>
          </w:tcPr>
          <w:p w:rsidR="008D52A6" w:rsidRPr="00FE16A7" w:rsidRDefault="008D52A6" w:rsidP="008F2D41">
            <w:pPr>
              <w:widowControl/>
              <w:jc w:val="right"/>
              <w:rPr>
                <w:kern w:val="0"/>
                <w:sz w:val="18"/>
                <w:szCs w:val="18"/>
              </w:rPr>
            </w:pPr>
            <w:r w:rsidRPr="00FE16A7">
              <w:rPr>
                <w:kern w:val="0"/>
                <w:sz w:val="18"/>
                <w:szCs w:val="18"/>
              </w:rPr>
              <w:t>57,320.68</w:t>
            </w:r>
          </w:p>
        </w:tc>
        <w:tc>
          <w:tcPr>
            <w:tcW w:w="865" w:type="pct"/>
            <w:shd w:val="clear" w:color="auto" w:fill="auto"/>
            <w:noWrap/>
            <w:vAlign w:val="center"/>
            <w:hideMark/>
          </w:tcPr>
          <w:p w:rsidR="008D52A6" w:rsidRPr="00FE16A7" w:rsidRDefault="008D52A6" w:rsidP="008F2D41">
            <w:pPr>
              <w:widowControl/>
              <w:jc w:val="right"/>
              <w:rPr>
                <w:kern w:val="0"/>
                <w:sz w:val="18"/>
                <w:szCs w:val="18"/>
              </w:rPr>
            </w:pPr>
            <w:r w:rsidRPr="00FE16A7">
              <w:rPr>
                <w:kern w:val="0"/>
                <w:sz w:val="18"/>
                <w:szCs w:val="18"/>
              </w:rPr>
              <w:t>52,205.75</w:t>
            </w:r>
          </w:p>
        </w:tc>
        <w:tc>
          <w:tcPr>
            <w:tcW w:w="865" w:type="pct"/>
            <w:shd w:val="clear" w:color="auto" w:fill="auto"/>
            <w:noWrap/>
            <w:vAlign w:val="center"/>
            <w:hideMark/>
          </w:tcPr>
          <w:p w:rsidR="008D52A6" w:rsidRPr="00FE16A7" w:rsidRDefault="008D52A6" w:rsidP="008F2D41">
            <w:pPr>
              <w:widowControl/>
              <w:jc w:val="right"/>
              <w:rPr>
                <w:kern w:val="0"/>
                <w:sz w:val="18"/>
                <w:szCs w:val="18"/>
              </w:rPr>
            </w:pPr>
            <w:r w:rsidRPr="00FE16A7">
              <w:rPr>
                <w:kern w:val="0"/>
                <w:sz w:val="18"/>
                <w:szCs w:val="18"/>
              </w:rPr>
              <w:t>-5,114.93</w:t>
            </w:r>
          </w:p>
        </w:tc>
        <w:tc>
          <w:tcPr>
            <w:tcW w:w="865" w:type="pct"/>
            <w:shd w:val="clear" w:color="auto" w:fill="auto"/>
            <w:noWrap/>
            <w:vAlign w:val="center"/>
            <w:hideMark/>
          </w:tcPr>
          <w:p w:rsidR="008D52A6" w:rsidRPr="00FE16A7" w:rsidRDefault="008D52A6" w:rsidP="008F2D41">
            <w:pPr>
              <w:widowControl/>
              <w:jc w:val="right"/>
              <w:rPr>
                <w:kern w:val="0"/>
                <w:sz w:val="18"/>
                <w:szCs w:val="18"/>
              </w:rPr>
            </w:pPr>
            <w:r w:rsidRPr="00FE16A7">
              <w:rPr>
                <w:kern w:val="0"/>
                <w:sz w:val="18"/>
                <w:szCs w:val="18"/>
              </w:rPr>
              <w:t>-8.92</w:t>
            </w:r>
          </w:p>
        </w:tc>
      </w:tr>
      <w:tr w:rsidR="008D52A6" w:rsidRPr="00FE16A7" w:rsidTr="008F2D41">
        <w:trPr>
          <w:trHeight w:val="360"/>
        </w:trPr>
        <w:tc>
          <w:tcPr>
            <w:tcW w:w="1323" w:type="pct"/>
            <w:gridSpan w:val="2"/>
            <w:shd w:val="clear" w:color="auto" w:fill="auto"/>
            <w:noWrap/>
            <w:vAlign w:val="center"/>
            <w:hideMark/>
          </w:tcPr>
          <w:p w:rsidR="008D52A6" w:rsidRPr="00FE16A7" w:rsidRDefault="008D52A6" w:rsidP="008F2D41">
            <w:pPr>
              <w:widowControl/>
              <w:jc w:val="center"/>
              <w:rPr>
                <w:b/>
                <w:bCs/>
                <w:kern w:val="0"/>
                <w:sz w:val="18"/>
                <w:szCs w:val="18"/>
              </w:rPr>
            </w:pPr>
            <w:r w:rsidRPr="00FE16A7">
              <w:rPr>
                <w:rFonts w:ascii="宋体" w:hAnsi="宋体" w:hint="eastAsia"/>
                <w:b/>
                <w:bCs/>
                <w:kern w:val="0"/>
                <w:sz w:val="18"/>
                <w:szCs w:val="18"/>
              </w:rPr>
              <w:t>负债总计</w:t>
            </w:r>
          </w:p>
        </w:tc>
        <w:tc>
          <w:tcPr>
            <w:tcW w:w="217" w:type="pct"/>
            <w:shd w:val="clear" w:color="auto" w:fill="auto"/>
            <w:noWrap/>
            <w:vAlign w:val="center"/>
            <w:hideMark/>
          </w:tcPr>
          <w:p w:rsidR="008D52A6" w:rsidRPr="00FE16A7" w:rsidRDefault="008D52A6" w:rsidP="008F2D41">
            <w:pPr>
              <w:widowControl/>
              <w:jc w:val="center"/>
              <w:rPr>
                <w:b/>
                <w:bCs/>
                <w:kern w:val="0"/>
                <w:sz w:val="18"/>
                <w:szCs w:val="18"/>
              </w:rPr>
            </w:pPr>
            <w:r w:rsidRPr="00FE16A7">
              <w:rPr>
                <w:b/>
                <w:bCs/>
                <w:kern w:val="0"/>
                <w:sz w:val="18"/>
                <w:szCs w:val="18"/>
              </w:rPr>
              <w:t xml:space="preserve">15 </w:t>
            </w:r>
          </w:p>
        </w:tc>
        <w:tc>
          <w:tcPr>
            <w:tcW w:w="865" w:type="pct"/>
            <w:shd w:val="clear" w:color="auto" w:fill="auto"/>
            <w:noWrap/>
            <w:vAlign w:val="center"/>
            <w:hideMark/>
          </w:tcPr>
          <w:p w:rsidR="008D52A6" w:rsidRPr="00FE16A7" w:rsidRDefault="008D52A6" w:rsidP="008F2D41">
            <w:pPr>
              <w:widowControl/>
              <w:jc w:val="right"/>
              <w:rPr>
                <w:b/>
                <w:bCs/>
                <w:kern w:val="0"/>
                <w:sz w:val="18"/>
                <w:szCs w:val="18"/>
              </w:rPr>
            </w:pPr>
            <w:r w:rsidRPr="00FE16A7">
              <w:rPr>
                <w:b/>
                <w:bCs/>
                <w:kern w:val="0"/>
                <w:sz w:val="18"/>
                <w:szCs w:val="18"/>
              </w:rPr>
              <w:t>143,659.21</w:t>
            </w:r>
          </w:p>
        </w:tc>
        <w:tc>
          <w:tcPr>
            <w:tcW w:w="865" w:type="pct"/>
            <w:shd w:val="clear" w:color="auto" w:fill="auto"/>
            <w:noWrap/>
            <w:vAlign w:val="center"/>
            <w:hideMark/>
          </w:tcPr>
          <w:p w:rsidR="008D52A6" w:rsidRPr="00FE16A7" w:rsidRDefault="008D52A6" w:rsidP="008F2D41">
            <w:pPr>
              <w:widowControl/>
              <w:jc w:val="right"/>
              <w:rPr>
                <w:b/>
                <w:bCs/>
                <w:kern w:val="0"/>
                <w:sz w:val="18"/>
                <w:szCs w:val="18"/>
              </w:rPr>
            </w:pPr>
            <w:r w:rsidRPr="00FE16A7">
              <w:rPr>
                <w:b/>
                <w:bCs/>
                <w:kern w:val="0"/>
                <w:sz w:val="18"/>
                <w:szCs w:val="18"/>
              </w:rPr>
              <w:t>138,544.28</w:t>
            </w:r>
          </w:p>
        </w:tc>
        <w:tc>
          <w:tcPr>
            <w:tcW w:w="865" w:type="pct"/>
            <w:shd w:val="clear" w:color="auto" w:fill="auto"/>
            <w:noWrap/>
            <w:vAlign w:val="center"/>
            <w:hideMark/>
          </w:tcPr>
          <w:p w:rsidR="008D52A6" w:rsidRPr="00FE16A7" w:rsidRDefault="008D52A6" w:rsidP="008F2D41">
            <w:pPr>
              <w:widowControl/>
              <w:jc w:val="right"/>
              <w:rPr>
                <w:b/>
                <w:bCs/>
                <w:kern w:val="0"/>
                <w:sz w:val="18"/>
                <w:szCs w:val="18"/>
              </w:rPr>
            </w:pPr>
            <w:r w:rsidRPr="00FE16A7">
              <w:rPr>
                <w:b/>
                <w:bCs/>
                <w:kern w:val="0"/>
                <w:sz w:val="18"/>
                <w:szCs w:val="18"/>
              </w:rPr>
              <w:t>-5,114.93</w:t>
            </w:r>
          </w:p>
        </w:tc>
        <w:tc>
          <w:tcPr>
            <w:tcW w:w="865" w:type="pct"/>
            <w:shd w:val="clear" w:color="auto" w:fill="auto"/>
            <w:noWrap/>
            <w:vAlign w:val="center"/>
            <w:hideMark/>
          </w:tcPr>
          <w:p w:rsidR="008D52A6" w:rsidRPr="00FE16A7" w:rsidRDefault="008D52A6" w:rsidP="008F2D41">
            <w:pPr>
              <w:widowControl/>
              <w:jc w:val="right"/>
              <w:rPr>
                <w:b/>
                <w:bCs/>
                <w:kern w:val="0"/>
                <w:sz w:val="18"/>
                <w:szCs w:val="18"/>
              </w:rPr>
            </w:pPr>
            <w:r w:rsidRPr="00FE16A7">
              <w:rPr>
                <w:b/>
                <w:bCs/>
                <w:kern w:val="0"/>
                <w:sz w:val="18"/>
                <w:szCs w:val="18"/>
              </w:rPr>
              <w:t>-3.56</w:t>
            </w:r>
          </w:p>
        </w:tc>
      </w:tr>
      <w:tr w:rsidR="008D52A6" w:rsidRPr="00FE16A7" w:rsidTr="008F2D41">
        <w:trPr>
          <w:trHeight w:val="360"/>
        </w:trPr>
        <w:tc>
          <w:tcPr>
            <w:tcW w:w="1323" w:type="pct"/>
            <w:gridSpan w:val="2"/>
            <w:shd w:val="clear" w:color="auto" w:fill="auto"/>
            <w:noWrap/>
            <w:vAlign w:val="center"/>
            <w:hideMark/>
          </w:tcPr>
          <w:p w:rsidR="008D52A6" w:rsidRPr="00FE16A7" w:rsidRDefault="008D52A6" w:rsidP="008F2D41">
            <w:pPr>
              <w:widowControl/>
              <w:jc w:val="center"/>
              <w:rPr>
                <w:b/>
                <w:bCs/>
                <w:kern w:val="0"/>
                <w:sz w:val="18"/>
                <w:szCs w:val="18"/>
              </w:rPr>
            </w:pPr>
            <w:r w:rsidRPr="00FE16A7">
              <w:rPr>
                <w:rFonts w:ascii="宋体" w:hAnsi="宋体" w:hint="eastAsia"/>
                <w:b/>
                <w:bCs/>
                <w:kern w:val="0"/>
                <w:sz w:val="18"/>
                <w:szCs w:val="18"/>
              </w:rPr>
              <w:t>净资产</w:t>
            </w:r>
            <w:r w:rsidRPr="00FE16A7">
              <w:rPr>
                <w:b/>
                <w:bCs/>
                <w:kern w:val="0"/>
                <w:sz w:val="18"/>
                <w:szCs w:val="18"/>
              </w:rPr>
              <w:t>(</w:t>
            </w:r>
            <w:r w:rsidRPr="00FE16A7">
              <w:rPr>
                <w:rFonts w:ascii="宋体" w:hAnsi="宋体" w:hint="eastAsia"/>
                <w:b/>
                <w:bCs/>
                <w:kern w:val="0"/>
                <w:sz w:val="18"/>
                <w:szCs w:val="18"/>
              </w:rPr>
              <w:t>所有者权益</w:t>
            </w:r>
            <w:r w:rsidRPr="00FE16A7">
              <w:rPr>
                <w:b/>
                <w:bCs/>
                <w:kern w:val="0"/>
                <w:sz w:val="18"/>
                <w:szCs w:val="18"/>
              </w:rPr>
              <w:t>)</w:t>
            </w:r>
          </w:p>
        </w:tc>
        <w:tc>
          <w:tcPr>
            <w:tcW w:w="217" w:type="pct"/>
            <w:shd w:val="clear" w:color="auto" w:fill="auto"/>
            <w:noWrap/>
            <w:vAlign w:val="center"/>
            <w:hideMark/>
          </w:tcPr>
          <w:p w:rsidR="008D52A6" w:rsidRPr="00FE16A7" w:rsidRDefault="008D52A6" w:rsidP="008F2D41">
            <w:pPr>
              <w:widowControl/>
              <w:jc w:val="center"/>
              <w:rPr>
                <w:b/>
                <w:bCs/>
                <w:kern w:val="0"/>
                <w:sz w:val="18"/>
                <w:szCs w:val="18"/>
              </w:rPr>
            </w:pPr>
            <w:r w:rsidRPr="00FE16A7">
              <w:rPr>
                <w:b/>
                <w:bCs/>
                <w:kern w:val="0"/>
                <w:sz w:val="18"/>
                <w:szCs w:val="18"/>
              </w:rPr>
              <w:t xml:space="preserve">16 </w:t>
            </w:r>
          </w:p>
        </w:tc>
        <w:tc>
          <w:tcPr>
            <w:tcW w:w="865" w:type="pct"/>
            <w:shd w:val="clear" w:color="auto" w:fill="auto"/>
            <w:noWrap/>
            <w:vAlign w:val="center"/>
            <w:hideMark/>
          </w:tcPr>
          <w:p w:rsidR="008D52A6" w:rsidRPr="00FE16A7" w:rsidRDefault="008D52A6" w:rsidP="008F2D41">
            <w:pPr>
              <w:widowControl/>
              <w:jc w:val="right"/>
              <w:rPr>
                <w:b/>
                <w:bCs/>
                <w:kern w:val="0"/>
                <w:sz w:val="18"/>
                <w:szCs w:val="18"/>
              </w:rPr>
            </w:pPr>
            <w:r w:rsidRPr="00FE16A7">
              <w:rPr>
                <w:b/>
                <w:bCs/>
                <w:kern w:val="0"/>
                <w:sz w:val="18"/>
                <w:szCs w:val="18"/>
              </w:rPr>
              <w:t>224,844.28</w:t>
            </w:r>
          </w:p>
        </w:tc>
        <w:tc>
          <w:tcPr>
            <w:tcW w:w="865" w:type="pct"/>
            <w:shd w:val="clear" w:color="auto" w:fill="auto"/>
            <w:noWrap/>
            <w:vAlign w:val="center"/>
            <w:hideMark/>
          </w:tcPr>
          <w:p w:rsidR="008D52A6" w:rsidRPr="00FE16A7" w:rsidRDefault="008D52A6" w:rsidP="008F2D41">
            <w:pPr>
              <w:widowControl/>
              <w:jc w:val="right"/>
              <w:rPr>
                <w:b/>
                <w:bCs/>
                <w:kern w:val="0"/>
                <w:sz w:val="18"/>
                <w:szCs w:val="18"/>
              </w:rPr>
            </w:pPr>
            <w:r w:rsidRPr="00FE16A7">
              <w:rPr>
                <w:b/>
                <w:bCs/>
                <w:kern w:val="0"/>
                <w:sz w:val="18"/>
                <w:szCs w:val="18"/>
              </w:rPr>
              <w:t>206,664.37</w:t>
            </w:r>
          </w:p>
        </w:tc>
        <w:tc>
          <w:tcPr>
            <w:tcW w:w="865" w:type="pct"/>
            <w:shd w:val="clear" w:color="auto" w:fill="auto"/>
            <w:noWrap/>
            <w:vAlign w:val="center"/>
            <w:hideMark/>
          </w:tcPr>
          <w:p w:rsidR="008D52A6" w:rsidRPr="00FE16A7" w:rsidRDefault="008D52A6" w:rsidP="008F2D41">
            <w:pPr>
              <w:widowControl/>
              <w:jc w:val="right"/>
              <w:rPr>
                <w:b/>
                <w:bCs/>
                <w:kern w:val="0"/>
                <w:sz w:val="18"/>
                <w:szCs w:val="18"/>
              </w:rPr>
            </w:pPr>
            <w:r w:rsidRPr="00FE16A7">
              <w:rPr>
                <w:b/>
                <w:bCs/>
                <w:kern w:val="0"/>
                <w:sz w:val="18"/>
                <w:szCs w:val="18"/>
              </w:rPr>
              <w:t>-18,179.91</w:t>
            </w:r>
          </w:p>
        </w:tc>
        <w:tc>
          <w:tcPr>
            <w:tcW w:w="865" w:type="pct"/>
            <w:shd w:val="clear" w:color="auto" w:fill="auto"/>
            <w:noWrap/>
            <w:vAlign w:val="center"/>
            <w:hideMark/>
          </w:tcPr>
          <w:p w:rsidR="008D52A6" w:rsidRPr="00FE16A7" w:rsidRDefault="008D52A6" w:rsidP="008F2D41">
            <w:pPr>
              <w:widowControl/>
              <w:jc w:val="right"/>
              <w:rPr>
                <w:b/>
                <w:bCs/>
                <w:kern w:val="0"/>
                <w:sz w:val="18"/>
                <w:szCs w:val="18"/>
              </w:rPr>
            </w:pPr>
            <w:r w:rsidRPr="00FE16A7">
              <w:rPr>
                <w:b/>
                <w:bCs/>
                <w:kern w:val="0"/>
                <w:sz w:val="18"/>
                <w:szCs w:val="18"/>
              </w:rPr>
              <w:t>-8.09</w:t>
            </w:r>
          </w:p>
        </w:tc>
      </w:tr>
    </w:tbl>
    <w:p w:rsidR="008D52A6" w:rsidRPr="00D91118" w:rsidRDefault="008D52A6" w:rsidP="008D52A6">
      <w:pPr>
        <w:pStyle w:val="a3"/>
        <w:spacing w:beforeLines="50" w:before="156" w:line="360" w:lineRule="auto"/>
        <w:ind w:firstLineChars="200" w:firstLine="480"/>
        <w:rPr>
          <w:rFonts w:ascii="Times New Roman"/>
          <w:sz w:val="24"/>
        </w:rPr>
      </w:pPr>
      <w:r w:rsidRPr="00D91118">
        <w:rPr>
          <w:rFonts w:ascii="Times New Roman"/>
          <w:sz w:val="24"/>
        </w:rPr>
        <w:t>本资产评估报告仅为资产评估报告中描述的经济行为提供价值参考依据，评估结论的使用有效期原则上为自评估基准日起一年。如果资产状况、市场状况与评估基准日相关状况相比发生重大变化，委托</w:t>
      </w:r>
      <w:r>
        <w:rPr>
          <w:rFonts w:ascii="Times New Roman" w:hint="eastAsia"/>
          <w:sz w:val="24"/>
        </w:rPr>
        <w:t>人</w:t>
      </w:r>
      <w:r w:rsidRPr="00D91118">
        <w:rPr>
          <w:rFonts w:ascii="Times New Roman"/>
          <w:sz w:val="24"/>
        </w:rPr>
        <w:t>应当委托评估机构执行评估更新业务或重新评估。</w:t>
      </w:r>
    </w:p>
    <w:p w:rsidR="008D52A6" w:rsidRPr="00D91118" w:rsidRDefault="008D52A6" w:rsidP="008D52A6">
      <w:pPr>
        <w:spacing w:line="360" w:lineRule="auto"/>
        <w:ind w:firstLineChars="200" w:firstLine="480"/>
        <w:rPr>
          <w:sz w:val="24"/>
        </w:rPr>
      </w:pPr>
      <w:r w:rsidRPr="00D91118">
        <w:rPr>
          <w:sz w:val="24"/>
        </w:rPr>
        <w:t>以上内容摘自资产评估报告正文，欲了解本评估业务的详细情况和正确理解评估结论，应当阅读资产评估报告正文。</w:t>
      </w:r>
    </w:p>
    <w:p w:rsidR="008D52A6" w:rsidRPr="00D91118" w:rsidRDefault="008D52A6" w:rsidP="008D52A6">
      <w:pPr>
        <w:spacing w:line="360" w:lineRule="auto"/>
        <w:ind w:firstLineChars="200" w:firstLine="480"/>
        <w:rPr>
          <w:rFonts w:hint="eastAsia"/>
          <w:sz w:val="24"/>
        </w:rPr>
      </w:pPr>
    </w:p>
    <w:p w:rsidR="00DB4D52" w:rsidRPr="008D52A6" w:rsidRDefault="00DB4D52"/>
    <w:sectPr w:rsidR="00DB4D52" w:rsidRPr="008D52A6" w:rsidSect="009317D0">
      <w:pgSz w:w="11906" w:h="16838" w:code="9"/>
      <w:pgMar w:top="1440" w:right="1797" w:bottom="1440"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2A6"/>
    <w:rsid w:val="006812F9"/>
    <w:rsid w:val="007A2548"/>
    <w:rsid w:val="008B5548"/>
    <w:rsid w:val="008D52A6"/>
    <w:rsid w:val="009317D0"/>
    <w:rsid w:val="00DB4D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801E25-8BEF-49C3-97A1-517567821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2A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aliases w:val="正文2级,表正文,正文非缩进,特点,正文缩进William,ALT+Z,标题4,正文（首行缩进两字） Char,正文（首行缩进两字） Char Char Char Char,正文（首行缩进两字） Char Char Char Char Char Char,正文缩进1,表正文1,正文非缩进1,正文缩进William1,特点1,ALT+Z1,标题41,正文（首行缩进两字） Char1 Char Char Char,段1,±íÕýÎÄ,ÕýÎÄ·ÇËõ½ø,正文对齐,Alt+X,mr正文缩进,水上"/>
    <w:basedOn w:val="a"/>
    <w:link w:val="Char"/>
    <w:qFormat/>
    <w:rsid w:val="008D52A6"/>
    <w:pPr>
      <w:autoSpaceDE w:val="0"/>
      <w:autoSpaceDN w:val="0"/>
      <w:adjustRightInd w:val="0"/>
      <w:ind w:firstLine="420"/>
      <w:textAlignment w:val="baseline"/>
    </w:pPr>
    <w:rPr>
      <w:rFonts w:ascii="宋体"/>
      <w:kern w:val="0"/>
      <w:szCs w:val="20"/>
    </w:rPr>
  </w:style>
  <w:style w:type="character" w:customStyle="1" w:styleId="Char">
    <w:name w:val="正文缩进 Char"/>
    <w:aliases w:val="正文2级 Char,正文对齐 Char,Alt+X Char,mr正文缩进 Char,正文不缩进 Char,特点 Char Char,水上软件 Char,正文文本 Char Char Char,body text Char,居中 Char,Normal Indent Char,特点 Char1,表正文 Char,正文非缩进 Char,正文缩进William Char,ALT+Z Char,标题4 Char,正文（首行缩进两字） Char Char,正文缩进1 Char,段1 Cha"/>
    <w:link w:val="a3"/>
    <w:qFormat/>
    <w:rsid w:val="008D52A6"/>
    <w:rPr>
      <w:rFonts w:ascii="宋体" w:eastAsia="宋体"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191</Words>
  <Characters>1091</Characters>
  <Application>Microsoft Office Word</Application>
  <DocSecurity>0</DocSecurity>
  <Lines>9</Lines>
  <Paragraphs>2</Paragraphs>
  <ScaleCrop>false</ScaleCrop>
  <Company/>
  <LinksUpToDate>false</LinksUpToDate>
  <CharactersWithSpaces>1280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彭海辉</dc:creator>
  <cp:keywords/>
  <dc:description/>
  <cp:lastModifiedBy>彭海辉</cp:lastModifiedBy>
  <cp:revision>1</cp:revision>
  <dcterms:created xsi:type="dcterms:W3CDTF">2019-12-24T01:24:00Z</dcterms:created>
  <dcterms:modified xsi:type="dcterms:W3CDTF">2019-12-24T01:27:00Z</dcterms:modified>
</cp:coreProperties>
</file>