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11" w:rsidRPr="009B2D46" w:rsidRDefault="001C5611" w:rsidP="001C5611">
      <w:pPr>
        <w:pStyle w:val="1"/>
        <w:spacing w:before="0" w:after="0" w:line="360" w:lineRule="auto"/>
        <w:jc w:val="center"/>
        <w:rPr>
          <w:rFonts w:ascii="仿宋" w:eastAsia="仿宋" w:hAnsi="仿宋" w:hint="eastAsia"/>
          <w:sz w:val="30"/>
        </w:rPr>
      </w:pPr>
      <w:bookmarkStart w:id="0" w:name="_Toc497566755"/>
      <w:r>
        <w:rPr>
          <w:rFonts w:ascii="仿宋" w:eastAsia="仿宋" w:hAnsi="仿宋" w:hint="eastAsia"/>
          <w:sz w:val="30"/>
        </w:rPr>
        <w:t>评估</w:t>
      </w:r>
      <w:r>
        <w:rPr>
          <w:rFonts w:ascii="仿宋" w:eastAsia="仿宋" w:hAnsi="仿宋"/>
          <w:sz w:val="30"/>
        </w:rPr>
        <w:t>报告</w:t>
      </w:r>
      <w:r w:rsidRPr="009B2D46">
        <w:rPr>
          <w:rFonts w:ascii="仿宋" w:eastAsia="仿宋" w:hAnsi="仿宋"/>
          <w:sz w:val="30"/>
        </w:rPr>
        <w:t>摘要</w:t>
      </w:r>
      <w:bookmarkEnd w:id="0"/>
      <w:r>
        <w:rPr>
          <w:rFonts w:ascii="仿宋" w:eastAsia="仿宋" w:hAnsi="仿宋" w:hint="eastAsia"/>
          <w:sz w:val="30"/>
        </w:rPr>
        <w:t>和</w:t>
      </w:r>
      <w:r>
        <w:rPr>
          <w:rFonts w:ascii="仿宋" w:eastAsia="仿宋" w:hAnsi="仿宋"/>
          <w:sz w:val="30"/>
        </w:rPr>
        <w:t>特别</w:t>
      </w:r>
      <w:r>
        <w:rPr>
          <w:rFonts w:ascii="仿宋" w:eastAsia="仿宋" w:hAnsi="仿宋" w:hint="eastAsia"/>
          <w:sz w:val="30"/>
        </w:rPr>
        <w:t>事项</w:t>
      </w:r>
      <w:bookmarkStart w:id="1" w:name="_GoBack"/>
      <w:bookmarkEnd w:id="1"/>
      <w:r>
        <w:rPr>
          <w:rFonts w:ascii="仿宋" w:eastAsia="仿宋" w:hAnsi="仿宋"/>
          <w:sz w:val="30"/>
        </w:rPr>
        <w:t>说明</w:t>
      </w:r>
    </w:p>
    <w:p w:rsidR="001C5611" w:rsidRPr="009B2D46" w:rsidRDefault="001C5611" w:rsidP="001C5611">
      <w:pPr>
        <w:rPr>
          <w:rFonts w:ascii="仿宋" w:eastAsia="仿宋" w:hAnsi="仿宋"/>
          <w:sz w:val="28"/>
          <w:szCs w:val="28"/>
        </w:rPr>
      </w:pPr>
    </w:p>
    <w:p w:rsidR="001C5611" w:rsidRPr="009B2D46" w:rsidRDefault="001C5611" w:rsidP="001C5611">
      <w:pPr>
        <w:pStyle w:val="0"/>
        <w:ind w:firstLine="560"/>
        <w:rPr>
          <w:rFonts w:ascii="仿宋" w:eastAsia="仿宋" w:hAnsi="仿宋"/>
        </w:rPr>
      </w:pPr>
      <w:r>
        <w:rPr>
          <w:rFonts w:ascii="仿宋" w:eastAsia="仿宋" w:hAnsi="仿宋"/>
        </w:rPr>
        <w:t>中联资产评估集团（云南）有限公司</w:t>
      </w:r>
      <w:r w:rsidRPr="009B2D46">
        <w:rPr>
          <w:rFonts w:ascii="仿宋" w:eastAsia="仿宋" w:hAnsi="仿宋"/>
        </w:rPr>
        <w:t>接受</w:t>
      </w:r>
      <w:r>
        <w:rPr>
          <w:rFonts w:ascii="仿宋" w:eastAsia="仿宋" w:hAnsi="仿宋" w:hint="eastAsia"/>
        </w:rPr>
        <w:t>云南煤化工集团有限公司（简称：云南煤化集团）</w:t>
      </w:r>
      <w:r w:rsidRPr="009B2D46">
        <w:rPr>
          <w:rFonts w:ascii="仿宋" w:eastAsia="仿宋" w:hAnsi="仿宋"/>
        </w:rPr>
        <w:t>及</w:t>
      </w:r>
      <w:r>
        <w:rPr>
          <w:rFonts w:ascii="仿宋" w:eastAsia="仿宋" w:hAnsi="仿宋" w:hint="eastAsia"/>
        </w:rPr>
        <w:t>云南省煤炭产业集团有限公司</w:t>
      </w:r>
      <w:r w:rsidRPr="009B2D46">
        <w:rPr>
          <w:rFonts w:ascii="仿宋" w:eastAsia="仿宋" w:hAnsi="仿宋"/>
        </w:rPr>
        <w:t>的委托，就拟</w:t>
      </w:r>
      <w:r>
        <w:rPr>
          <w:rFonts w:ascii="仿宋" w:eastAsia="仿宋" w:hAnsi="仿宋" w:hint="eastAsia"/>
        </w:rPr>
        <w:t>组建云南省煤炭产业集团有限公司</w:t>
      </w:r>
      <w:r w:rsidRPr="009B2D46">
        <w:rPr>
          <w:rFonts w:ascii="仿宋" w:eastAsia="仿宋" w:hAnsi="仿宋"/>
        </w:rPr>
        <w:t>之经济行为，对所涉及</w:t>
      </w:r>
      <w:r>
        <w:rPr>
          <w:rFonts w:ascii="仿宋" w:eastAsia="仿宋" w:hAnsi="仿宋"/>
        </w:rPr>
        <w:t>云南东源煤业集团有限公司</w:t>
      </w:r>
      <w:r w:rsidRPr="009B2D46">
        <w:rPr>
          <w:rFonts w:ascii="仿宋" w:eastAsia="仿宋" w:hAnsi="仿宋"/>
        </w:rPr>
        <w:t>的股东全部权益在评估基准日的市场价值进行了评估。</w:t>
      </w:r>
    </w:p>
    <w:p w:rsidR="001C5611" w:rsidRPr="009B2D46" w:rsidRDefault="001C5611" w:rsidP="001C5611">
      <w:pPr>
        <w:pStyle w:val="0"/>
        <w:ind w:firstLine="560"/>
        <w:rPr>
          <w:rFonts w:ascii="仿宋" w:eastAsia="仿宋" w:hAnsi="仿宋"/>
        </w:rPr>
      </w:pPr>
      <w:r w:rsidRPr="009B2D46">
        <w:rPr>
          <w:rFonts w:ascii="仿宋" w:eastAsia="仿宋" w:hAnsi="仿宋"/>
        </w:rPr>
        <w:t>评估对象为</w:t>
      </w:r>
      <w:r>
        <w:rPr>
          <w:rFonts w:ascii="仿宋" w:eastAsia="仿宋" w:hAnsi="仿宋"/>
        </w:rPr>
        <w:t>云南东源煤业集团有限公司</w:t>
      </w:r>
      <w:r w:rsidRPr="009B2D46">
        <w:rPr>
          <w:rFonts w:ascii="仿宋" w:eastAsia="仿宋" w:hAnsi="仿宋"/>
        </w:rPr>
        <w:t>的股东全部权益，评估范围是</w:t>
      </w:r>
      <w:r>
        <w:rPr>
          <w:rFonts w:ascii="仿宋" w:eastAsia="仿宋" w:hAnsi="仿宋"/>
        </w:rPr>
        <w:t>云南东源煤业集团有限公司</w:t>
      </w:r>
      <w:r w:rsidRPr="009B2D46">
        <w:rPr>
          <w:rFonts w:ascii="仿宋" w:eastAsia="仿宋" w:hAnsi="仿宋"/>
        </w:rPr>
        <w:t>的全部资产及相关负债，包括流动资产和非流动资产等资产及相应负债。</w:t>
      </w:r>
    </w:p>
    <w:p w:rsidR="001C5611" w:rsidRPr="009B2D46" w:rsidRDefault="001C5611" w:rsidP="001C5611">
      <w:pPr>
        <w:pStyle w:val="0"/>
        <w:ind w:firstLine="560"/>
        <w:rPr>
          <w:rFonts w:ascii="仿宋" w:eastAsia="仿宋" w:hAnsi="仿宋"/>
          <w:szCs w:val="28"/>
        </w:rPr>
      </w:pPr>
      <w:r w:rsidRPr="009B2D46">
        <w:rPr>
          <w:rFonts w:ascii="仿宋" w:eastAsia="仿宋" w:hAnsi="仿宋"/>
          <w:szCs w:val="28"/>
        </w:rPr>
        <w:t>评估基准日为</w:t>
      </w:r>
      <w:r>
        <w:rPr>
          <w:rFonts w:ascii="仿宋" w:eastAsia="仿宋" w:hAnsi="仿宋"/>
          <w:szCs w:val="28"/>
        </w:rPr>
        <w:t>2019年9月30日</w:t>
      </w:r>
      <w:r w:rsidRPr="009B2D46">
        <w:rPr>
          <w:rFonts w:ascii="仿宋" w:eastAsia="仿宋" w:hAnsi="仿宋"/>
          <w:szCs w:val="28"/>
        </w:rPr>
        <w:t>。</w:t>
      </w:r>
    </w:p>
    <w:p w:rsidR="001C5611" w:rsidRPr="009B2D46" w:rsidRDefault="001C5611" w:rsidP="001C5611">
      <w:pPr>
        <w:pStyle w:val="0"/>
        <w:ind w:firstLine="560"/>
        <w:rPr>
          <w:rFonts w:ascii="仿宋" w:eastAsia="仿宋" w:hAnsi="仿宋"/>
          <w:szCs w:val="28"/>
        </w:rPr>
      </w:pPr>
      <w:r w:rsidRPr="009B2D46">
        <w:rPr>
          <w:rFonts w:ascii="仿宋" w:eastAsia="仿宋" w:hAnsi="仿宋"/>
          <w:szCs w:val="28"/>
        </w:rPr>
        <w:t>本次评估的价值类型为市场价值。</w:t>
      </w:r>
    </w:p>
    <w:p w:rsidR="001C5611" w:rsidRPr="009B2D46" w:rsidRDefault="001C5611" w:rsidP="001C5611">
      <w:pPr>
        <w:pStyle w:val="0"/>
        <w:ind w:firstLine="560"/>
        <w:rPr>
          <w:rFonts w:ascii="仿宋" w:eastAsia="仿宋" w:hAnsi="仿宋"/>
          <w:szCs w:val="28"/>
        </w:rPr>
      </w:pPr>
      <w:r w:rsidRPr="009B2D46">
        <w:rPr>
          <w:rFonts w:ascii="仿宋" w:eastAsia="仿宋" w:hAnsi="仿宋"/>
          <w:szCs w:val="28"/>
        </w:rPr>
        <w:t>本次评估以持续使用和公开市场为前提，结合委托评估对象的实际情况，综合考虑各种影响因素，采用资产基础法和收益法对</w:t>
      </w:r>
      <w:r>
        <w:rPr>
          <w:rFonts w:ascii="仿宋" w:eastAsia="仿宋" w:hAnsi="仿宋"/>
          <w:szCs w:val="28"/>
        </w:rPr>
        <w:t>云南东源煤业集团有限公司</w:t>
      </w:r>
      <w:r w:rsidRPr="009B2D46">
        <w:rPr>
          <w:rFonts w:ascii="仿宋" w:eastAsia="仿宋" w:hAnsi="仿宋"/>
          <w:szCs w:val="28"/>
        </w:rPr>
        <w:t>进行整体评估，然后加以校核比较，考虑评估方法的适用前提和满足评估目的，本次评估选用资产基础法评估结果作为最终评估结论。</w:t>
      </w:r>
    </w:p>
    <w:p w:rsidR="001C5611" w:rsidRPr="009B2D46" w:rsidRDefault="001C5611" w:rsidP="001C5611">
      <w:pPr>
        <w:pStyle w:val="0"/>
        <w:ind w:firstLine="560"/>
        <w:rPr>
          <w:rFonts w:ascii="仿宋" w:eastAsia="仿宋" w:hAnsi="仿宋"/>
        </w:rPr>
      </w:pPr>
      <w:r w:rsidRPr="009B2D46">
        <w:rPr>
          <w:rFonts w:ascii="仿宋" w:eastAsia="仿宋" w:hAnsi="仿宋"/>
        </w:rPr>
        <w:t>经实施核查核实、实地查勘、市场调查和询证、评定估算等评估程序，采用资产基础法得出</w:t>
      </w:r>
      <w:r>
        <w:rPr>
          <w:rFonts w:ascii="仿宋" w:eastAsia="仿宋" w:hAnsi="仿宋"/>
        </w:rPr>
        <w:t>云南东源煤业集团有限公司</w:t>
      </w:r>
      <w:r w:rsidRPr="009B2D46">
        <w:rPr>
          <w:rFonts w:ascii="仿宋" w:eastAsia="仿宋" w:hAnsi="仿宋"/>
        </w:rPr>
        <w:t>的股东全部权益在评估基准日</w:t>
      </w:r>
      <w:r>
        <w:rPr>
          <w:rFonts w:ascii="仿宋" w:eastAsia="仿宋" w:hAnsi="仿宋"/>
        </w:rPr>
        <w:t>2019年9月30日</w:t>
      </w:r>
      <w:r w:rsidRPr="009B2D46">
        <w:rPr>
          <w:rFonts w:ascii="仿宋" w:eastAsia="仿宋" w:hAnsi="仿宋"/>
        </w:rPr>
        <w:t>的评估结论如下：</w:t>
      </w:r>
    </w:p>
    <w:p w:rsidR="001C5611" w:rsidRPr="009B2D46" w:rsidRDefault="001C5611" w:rsidP="001C5611">
      <w:pPr>
        <w:pStyle w:val="0"/>
        <w:ind w:firstLine="560"/>
        <w:rPr>
          <w:rFonts w:ascii="仿宋" w:eastAsia="仿宋" w:hAnsi="仿宋" w:hint="eastAsia"/>
        </w:rPr>
      </w:pPr>
      <w:r w:rsidRPr="009B2D46">
        <w:rPr>
          <w:rFonts w:ascii="仿宋" w:eastAsia="仿宋" w:hAnsi="仿宋" w:hint="eastAsia"/>
        </w:rPr>
        <w:t>总资产账面值</w:t>
      </w:r>
      <w:r>
        <w:rPr>
          <w:rFonts w:ascii="仿宋" w:eastAsia="仿宋" w:hAnsi="仿宋"/>
        </w:rPr>
        <w:t>523,781.93</w:t>
      </w:r>
      <w:r w:rsidRPr="009B2D46">
        <w:rPr>
          <w:rFonts w:ascii="仿宋" w:eastAsia="仿宋" w:hAnsi="仿宋" w:hint="eastAsia"/>
        </w:rPr>
        <w:t>万元，评估值</w:t>
      </w:r>
      <w:r>
        <w:rPr>
          <w:rFonts w:ascii="仿宋" w:eastAsia="仿宋" w:hAnsi="仿宋"/>
        </w:rPr>
        <w:t>506</w:t>
      </w:r>
      <w:r>
        <w:rPr>
          <w:rFonts w:ascii="仿宋" w:eastAsia="仿宋" w:hAnsi="仿宋" w:hint="eastAsia"/>
        </w:rPr>
        <w:t>,</w:t>
      </w:r>
      <w:r>
        <w:rPr>
          <w:rFonts w:ascii="仿宋" w:eastAsia="仿宋" w:hAnsi="仿宋"/>
        </w:rPr>
        <w:t>136.37</w:t>
      </w:r>
      <w:r w:rsidRPr="009B2D46">
        <w:rPr>
          <w:rFonts w:ascii="仿宋" w:eastAsia="仿宋" w:hAnsi="仿宋" w:hint="eastAsia"/>
        </w:rPr>
        <w:t>万元，评估</w:t>
      </w:r>
      <w:r>
        <w:rPr>
          <w:rFonts w:ascii="仿宋" w:eastAsia="仿宋" w:hAnsi="仿宋" w:hint="eastAsia"/>
        </w:rPr>
        <w:t>减值</w:t>
      </w:r>
      <w:r>
        <w:rPr>
          <w:rFonts w:ascii="仿宋" w:eastAsia="仿宋" w:hAnsi="仿宋"/>
        </w:rPr>
        <w:t>17</w:t>
      </w:r>
      <w:r>
        <w:rPr>
          <w:rFonts w:ascii="仿宋" w:eastAsia="仿宋" w:hAnsi="仿宋" w:hint="eastAsia"/>
        </w:rPr>
        <w:t>,</w:t>
      </w:r>
      <w:r>
        <w:rPr>
          <w:rFonts w:ascii="仿宋" w:eastAsia="仿宋" w:hAnsi="仿宋"/>
        </w:rPr>
        <w:t>645.56</w:t>
      </w:r>
      <w:r w:rsidRPr="009B2D46">
        <w:rPr>
          <w:rFonts w:ascii="仿宋" w:eastAsia="仿宋" w:hAnsi="仿宋" w:hint="eastAsia"/>
        </w:rPr>
        <w:t>万元，</w:t>
      </w:r>
      <w:r>
        <w:rPr>
          <w:rFonts w:ascii="仿宋" w:eastAsia="仿宋" w:hAnsi="仿宋" w:hint="eastAsia"/>
        </w:rPr>
        <w:t>减</w:t>
      </w:r>
      <w:r w:rsidRPr="009B2D46">
        <w:rPr>
          <w:rFonts w:ascii="仿宋" w:eastAsia="仿宋" w:hAnsi="仿宋" w:hint="eastAsia"/>
        </w:rPr>
        <w:t>值率</w:t>
      </w:r>
      <w:r>
        <w:rPr>
          <w:rFonts w:ascii="仿宋" w:eastAsia="仿宋" w:hAnsi="仿宋"/>
        </w:rPr>
        <w:t>3.37</w:t>
      </w:r>
      <w:r w:rsidRPr="009B2D46">
        <w:rPr>
          <w:rFonts w:ascii="仿宋" w:eastAsia="仿宋" w:hAnsi="仿宋" w:hint="eastAsia"/>
        </w:rPr>
        <w:t>%。</w:t>
      </w:r>
    </w:p>
    <w:p w:rsidR="001C5611" w:rsidRPr="009B2D46" w:rsidRDefault="001C5611" w:rsidP="001C5611">
      <w:pPr>
        <w:pStyle w:val="0"/>
        <w:ind w:firstLine="560"/>
        <w:rPr>
          <w:rFonts w:ascii="仿宋" w:eastAsia="仿宋" w:hAnsi="仿宋" w:hint="eastAsia"/>
        </w:rPr>
      </w:pPr>
      <w:r w:rsidRPr="009B2D46">
        <w:rPr>
          <w:rFonts w:ascii="仿宋" w:eastAsia="仿宋" w:hAnsi="仿宋" w:hint="eastAsia"/>
        </w:rPr>
        <w:lastRenderedPageBreak/>
        <w:t>负债账面值</w:t>
      </w:r>
      <w:r>
        <w:rPr>
          <w:rFonts w:ascii="仿宋" w:eastAsia="仿宋" w:hAnsi="仿宋"/>
        </w:rPr>
        <w:t>149,934.29</w:t>
      </w:r>
      <w:r w:rsidRPr="009B2D46">
        <w:rPr>
          <w:rFonts w:ascii="仿宋" w:eastAsia="仿宋" w:hAnsi="仿宋" w:hint="eastAsia"/>
        </w:rPr>
        <w:t>万元，评估值</w:t>
      </w:r>
      <w:r>
        <w:rPr>
          <w:rFonts w:ascii="仿宋" w:eastAsia="仿宋" w:hAnsi="仿宋"/>
        </w:rPr>
        <w:t>149,934.29</w:t>
      </w:r>
      <w:r w:rsidRPr="009B2D46">
        <w:rPr>
          <w:rFonts w:ascii="仿宋" w:eastAsia="仿宋" w:hAnsi="仿宋" w:hint="eastAsia"/>
        </w:rPr>
        <w:t>万元，评估</w:t>
      </w:r>
      <w:r>
        <w:rPr>
          <w:rFonts w:ascii="仿宋" w:eastAsia="仿宋" w:hAnsi="仿宋" w:hint="eastAsia"/>
        </w:rPr>
        <w:t>无增减变化。</w:t>
      </w:r>
    </w:p>
    <w:p w:rsidR="001C5611" w:rsidRPr="009B2D46" w:rsidRDefault="001C5611" w:rsidP="001C5611">
      <w:pPr>
        <w:pStyle w:val="0"/>
        <w:ind w:firstLine="560"/>
        <w:rPr>
          <w:rFonts w:ascii="仿宋" w:eastAsia="仿宋" w:hAnsi="仿宋"/>
        </w:rPr>
      </w:pPr>
      <w:r w:rsidRPr="009B2D46">
        <w:rPr>
          <w:rFonts w:ascii="仿宋" w:eastAsia="仿宋" w:hAnsi="仿宋" w:hint="eastAsia"/>
        </w:rPr>
        <w:t>净资产账面值</w:t>
      </w:r>
      <w:r>
        <w:rPr>
          <w:rFonts w:ascii="仿宋" w:eastAsia="仿宋" w:hAnsi="仿宋"/>
        </w:rPr>
        <w:t>373</w:t>
      </w:r>
      <w:r>
        <w:rPr>
          <w:rFonts w:ascii="仿宋" w:eastAsia="仿宋" w:hAnsi="仿宋" w:hint="eastAsia"/>
        </w:rPr>
        <w:t>,</w:t>
      </w:r>
      <w:r>
        <w:rPr>
          <w:rFonts w:ascii="仿宋" w:eastAsia="仿宋" w:hAnsi="仿宋"/>
        </w:rPr>
        <w:t>847.64</w:t>
      </w:r>
      <w:r w:rsidRPr="009B2D46">
        <w:rPr>
          <w:rFonts w:ascii="仿宋" w:eastAsia="仿宋" w:hAnsi="仿宋" w:hint="eastAsia"/>
        </w:rPr>
        <w:t>万元，评估值</w:t>
      </w:r>
      <w:r>
        <w:rPr>
          <w:rFonts w:ascii="仿宋" w:eastAsia="仿宋" w:hAnsi="仿宋"/>
        </w:rPr>
        <w:t>356</w:t>
      </w:r>
      <w:r>
        <w:rPr>
          <w:rFonts w:ascii="仿宋" w:eastAsia="仿宋" w:hAnsi="仿宋" w:hint="eastAsia"/>
        </w:rPr>
        <w:t>,</w:t>
      </w:r>
      <w:r>
        <w:rPr>
          <w:rFonts w:ascii="仿宋" w:eastAsia="仿宋" w:hAnsi="仿宋"/>
        </w:rPr>
        <w:t>202.08</w:t>
      </w:r>
      <w:r w:rsidRPr="009B2D46">
        <w:rPr>
          <w:rFonts w:ascii="仿宋" w:eastAsia="仿宋" w:hAnsi="仿宋" w:hint="eastAsia"/>
        </w:rPr>
        <w:t>万元，评估</w:t>
      </w:r>
      <w:r>
        <w:rPr>
          <w:rFonts w:ascii="仿宋" w:eastAsia="仿宋" w:hAnsi="仿宋" w:hint="eastAsia"/>
        </w:rPr>
        <w:t>减</w:t>
      </w:r>
      <w:r w:rsidRPr="009B2D46">
        <w:rPr>
          <w:rFonts w:ascii="仿宋" w:eastAsia="仿宋" w:hAnsi="仿宋" w:hint="eastAsia"/>
        </w:rPr>
        <w:t>值</w:t>
      </w:r>
      <w:r>
        <w:rPr>
          <w:rFonts w:ascii="仿宋" w:eastAsia="仿宋" w:hAnsi="仿宋"/>
        </w:rPr>
        <w:t>17</w:t>
      </w:r>
      <w:r>
        <w:rPr>
          <w:rFonts w:ascii="仿宋" w:eastAsia="仿宋" w:hAnsi="仿宋" w:hint="eastAsia"/>
        </w:rPr>
        <w:t>,</w:t>
      </w:r>
      <w:r>
        <w:rPr>
          <w:rFonts w:ascii="仿宋" w:eastAsia="仿宋" w:hAnsi="仿宋"/>
        </w:rPr>
        <w:t>645.56</w:t>
      </w:r>
      <w:r w:rsidRPr="009B2D46">
        <w:rPr>
          <w:rFonts w:ascii="仿宋" w:eastAsia="仿宋" w:hAnsi="仿宋" w:hint="eastAsia"/>
        </w:rPr>
        <w:t>万元，</w:t>
      </w:r>
      <w:r>
        <w:rPr>
          <w:rFonts w:ascii="仿宋" w:eastAsia="仿宋" w:hAnsi="仿宋" w:hint="eastAsia"/>
        </w:rPr>
        <w:t>减值率</w:t>
      </w:r>
      <w:r>
        <w:rPr>
          <w:rFonts w:ascii="仿宋" w:eastAsia="仿宋" w:hAnsi="仿宋"/>
        </w:rPr>
        <w:t>4.72</w:t>
      </w:r>
      <w:r w:rsidRPr="009B2D46">
        <w:rPr>
          <w:rFonts w:ascii="仿宋" w:eastAsia="仿宋" w:hAnsi="仿宋" w:hint="eastAsia"/>
        </w:rPr>
        <w:t>%。</w:t>
      </w:r>
    </w:p>
    <w:p w:rsidR="001C5611" w:rsidRPr="00460196" w:rsidRDefault="001C5611" w:rsidP="001C5611">
      <w:pPr>
        <w:pStyle w:val="0"/>
        <w:ind w:firstLine="562"/>
        <w:rPr>
          <w:rFonts w:ascii="仿宋" w:eastAsia="仿宋" w:hAnsi="仿宋"/>
          <w:b/>
          <w:bCs/>
        </w:rPr>
      </w:pPr>
      <w:bookmarkStart w:id="2" w:name="_Hlt50976230"/>
      <w:bookmarkStart w:id="3" w:name="_Hlt55103031"/>
      <w:bookmarkEnd w:id="2"/>
      <w:bookmarkEnd w:id="3"/>
      <w:r w:rsidRPr="00460196">
        <w:rPr>
          <w:rFonts w:ascii="仿宋" w:eastAsia="仿宋" w:hAnsi="仿宋"/>
          <w:b/>
          <w:bCs/>
        </w:rPr>
        <w:t>提请报告使用者关注的特别事项</w:t>
      </w:r>
      <w:r w:rsidRPr="00460196">
        <w:rPr>
          <w:rFonts w:ascii="仿宋" w:eastAsia="仿宋" w:hAnsi="仿宋" w:hint="eastAsia"/>
          <w:b/>
          <w:bCs/>
        </w:rPr>
        <w:t>：</w:t>
      </w:r>
    </w:p>
    <w:p w:rsidR="001C5611" w:rsidRDefault="001C5611" w:rsidP="001C5611">
      <w:pPr>
        <w:tabs>
          <w:tab w:val="left" w:pos="993"/>
        </w:tabs>
        <w:spacing w:line="360" w:lineRule="auto"/>
        <w:ind w:firstLineChars="202" w:firstLine="566"/>
        <w:rPr>
          <w:rFonts w:ascii="仿宋" w:eastAsia="仿宋" w:hAnsi="仿宋" w:hint="eastAsia"/>
          <w:sz w:val="28"/>
          <w:szCs w:val="28"/>
          <w:lang w:val="zh-CN"/>
        </w:rPr>
      </w:pPr>
      <w:r>
        <w:rPr>
          <w:rFonts w:ascii="仿宋" w:eastAsia="仿宋" w:hAnsi="仿宋" w:hint="eastAsia"/>
          <w:sz w:val="28"/>
          <w:szCs w:val="28"/>
          <w:lang w:val="zh-CN"/>
        </w:rPr>
        <w:t>1、此次评估共涉及云南东源煤业集团2</w:t>
      </w:r>
      <w:r>
        <w:rPr>
          <w:rFonts w:ascii="仿宋" w:eastAsia="仿宋" w:hAnsi="仿宋"/>
          <w:sz w:val="28"/>
          <w:szCs w:val="28"/>
          <w:lang w:val="zh-CN"/>
        </w:rPr>
        <w:t>5</w:t>
      </w:r>
      <w:r>
        <w:rPr>
          <w:rFonts w:ascii="仿宋" w:eastAsia="仿宋" w:hAnsi="仿宋" w:hint="eastAsia"/>
          <w:sz w:val="28"/>
          <w:szCs w:val="28"/>
          <w:lang w:val="zh-CN"/>
        </w:rPr>
        <w:t>家二级公司，2</w:t>
      </w:r>
      <w:r>
        <w:rPr>
          <w:rFonts w:ascii="仿宋" w:eastAsia="仿宋" w:hAnsi="仿宋"/>
          <w:sz w:val="28"/>
          <w:szCs w:val="28"/>
          <w:lang w:val="zh-CN"/>
        </w:rPr>
        <w:t>9</w:t>
      </w:r>
      <w:r>
        <w:rPr>
          <w:rFonts w:ascii="仿宋" w:eastAsia="仿宋" w:hAnsi="仿宋" w:hint="eastAsia"/>
          <w:sz w:val="28"/>
          <w:szCs w:val="28"/>
          <w:lang w:val="zh-CN"/>
        </w:rPr>
        <w:t>家三级公司，根据企业的发展规划和相关情况说明，泸西竹箐沟煤业有限责任公司、云南东源昭通褐煤投资有限公司、云南东源昭通煤业有限公司、云南东源石林煤业有限公司、云南东源泸西煤业有限公司、云南东源罗平煤业有限公司、云南东源柳树青煤业有限公司、富源竹园镇新兴煤业有限公司共8家企业因去产能矿井被封，拟期后进行清算注销；东源曲靖能源有限公司由于非企业主业且近年持续亏损资不抵债，被评估单位拟期后进行股权转让处置。上述9家企业采用资产基础法评估，云南东源柳树青煤业有限公司、云南东源罗平煤业有限公司、富源竹园镇新兴煤矿有限公司、云南东源昭通煤业有限公司、东源曲靖能源有限公司、云南东源泸西煤业有限公司、泸西县竹箐沟煤业有限责任公司评估值为负值，此次评估按零值确认评估值。对应该部分企业的应收账款参照企业清算流程在评估结论的基础上计算资产与需支付债务的比例估算评估风险损失。</w:t>
      </w:r>
    </w:p>
    <w:p w:rsidR="001C5611" w:rsidRDefault="001C5611" w:rsidP="001C5611">
      <w:pPr>
        <w:pStyle w:val="ZW"/>
        <w:adjustRightInd/>
        <w:spacing w:line="360" w:lineRule="auto"/>
        <w:ind w:firstLineChars="200" w:firstLine="560"/>
        <w:rPr>
          <w:rFonts w:ascii="Times New Roman" w:eastAsia="仿宋_GB2312" w:hint="eastAsia"/>
          <w:szCs w:val="28"/>
        </w:rPr>
      </w:pPr>
      <w:r>
        <w:rPr>
          <w:rFonts w:ascii="仿宋" w:eastAsia="仿宋" w:hAnsi="仿宋" w:hint="eastAsia"/>
          <w:szCs w:val="28"/>
          <w:lang w:val="zh-CN"/>
        </w:rPr>
        <w:t>其余1</w:t>
      </w:r>
      <w:r>
        <w:rPr>
          <w:rFonts w:ascii="仿宋" w:eastAsia="仿宋" w:hAnsi="仿宋"/>
          <w:szCs w:val="28"/>
          <w:lang w:val="zh-CN"/>
        </w:rPr>
        <w:t>6</w:t>
      </w:r>
      <w:r>
        <w:rPr>
          <w:rFonts w:ascii="仿宋" w:eastAsia="仿宋" w:hAnsi="仿宋" w:hint="eastAsia"/>
          <w:szCs w:val="28"/>
          <w:lang w:val="zh-CN"/>
        </w:rPr>
        <w:t>家长期股权投资企业，评估后</w:t>
      </w:r>
      <w:r>
        <w:rPr>
          <w:rFonts w:ascii="Times New Roman" w:eastAsia="仿宋_GB2312"/>
          <w:szCs w:val="28"/>
        </w:rPr>
        <w:t>云南省煤炭供销总公司、云南省田坝煤矿、羊场煤矿、云南东源宣威煤业有限公司、云南省圭山煤矿及云南恒通煤业有限公司共六家二级公司，为集团公司</w:t>
      </w:r>
      <w:r>
        <w:rPr>
          <w:rFonts w:ascii="Times New Roman" w:eastAsia="仿宋_GB2312"/>
          <w:szCs w:val="28"/>
        </w:rPr>
        <w:t>100%</w:t>
      </w:r>
      <w:r>
        <w:rPr>
          <w:rFonts w:ascii="Times New Roman" w:eastAsia="仿宋_GB2312"/>
          <w:szCs w:val="28"/>
        </w:rPr>
        <w:lastRenderedPageBreak/>
        <w:t>控股，且与集团公司业务联系紧密，未来将持续经营，</w:t>
      </w:r>
      <w:r w:rsidRPr="009052E0">
        <w:rPr>
          <w:rFonts w:ascii="Times New Roman" w:eastAsia="仿宋_GB2312" w:hint="eastAsia"/>
          <w:szCs w:val="28"/>
        </w:rPr>
        <w:t>企业的经营规划和财务管理要求</w:t>
      </w:r>
      <w:r>
        <w:rPr>
          <w:rFonts w:ascii="Times New Roman" w:eastAsia="仿宋_GB2312"/>
          <w:szCs w:val="28"/>
        </w:rPr>
        <w:t>，集团公司对持续经营的子公司债务承担连带责任，根据经营需要提高投资金额。评估值为负值的，按</w:t>
      </w:r>
      <w:r>
        <w:rPr>
          <w:rFonts w:ascii="Times New Roman" w:eastAsia="仿宋_GB2312" w:hint="eastAsia"/>
          <w:szCs w:val="28"/>
        </w:rPr>
        <w:t>负值</w:t>
      </w:r>
      <w:r>
        <w:rPr>
          <w:rFonts w:ascii="Times New Roman" w:eastAsia="仿宋_GB2312"/>
          <w:szCs w:val="28"/>
        </w:rPr>
        <w:t>值确定长期股权投资。</w:t>
      </w:r>
      <w:r>
        <w:rPr>
          <w:rFonts w:ascii="Times New Roman" w:eastAsia="仿宋_GB2312" w:hint="eastAsia"/>
          <w:szCs w:val="28"/>
        </w:rPr>
        <w:t>与之对应的应收账款不再单独评估其风险损失。</w:t>
      </w:r>
    </w:p>
    <w:p w:rsidR="001C5611" w:rsidRDefault="001C5611" w:rsidP="001C5611">
      <w:pPr>
        <w:pStyle w:val="ZW"/>
        <w:adjustRightInd/>
        <w:spacing w:line="360" w:lineRule="auto"/>
        <w:ind w:firstLineChars="200" w:firstLine="560"/>
        <w:rPr>
          <w:rFonts w:ascii="Times New Roman" w:eastAsia="仿宋_GB2312" w:hint="eastAsia"/>
          <w:szCs w:val="28"/>
        </w:rPr>
      </w:pPr>
      <w:r>
        <w:rPr>
          <w:rFonts w:ascii="Times New Roman" w:eastAsia="仿宋_GB2312" w:hint="eastAsia"/>
          <w:szCs w:val="28"/>
        </w:rPr>
        <w:t>其余三级公司均按照上述原则分别进行评估。</w:t>
      </w:r>
    </w:p>
    <w:p w:rsidR="001C5611" w:rsidRDefault="001C5611" w:rsidP="001C5611">
      <w:pPr>
        <w:tabs>
          <w:tab w:val="left" w:pos="993"/>
        </w:tabs>
        <w:spacing w:line="360" w:lineRule="auto"/>
        <w:ind w:firstLineChars="202" w:firstLine="566"/>
        <w:rPr>
          <w:rFonts w:eastAsia="仿宋_GB2312"/>
          <w:kern w:val="0"/>
          <w:sz w:val="28"/>
          <w:szCs w:val="28"/>
        </w:rPr>
      </w:pPr>
      <w:r>
        <w:rPr>
          <w:rFonts w:ascii="仿宋" w:eastAsia="仿宋" w:hAnsi="仿宋" w:hint="eastAsia"/>
          <w:sz w:val="28"/>
          <w:szCs w:val="28"/>
          <w:lang w:val="zh-CN"/>
        </w:rPr>
        <w:t>2、此次纳入评估范围的位于北京办事处的房屋建筑物</w:t>
      </w:r>
      <w:r w:rsidRPr="00E04492">
        <w:rPr>
          <w:rFonts w:eastAsia="仿宋_GB2312" w:hint="eastAsia"/>
          <w:kern w:val="0"/>
          <w:sz w:val="28"/>
          <w:szCs w:val="28"/>
        </w:rPr>
        <w:t>，</w:t>
      </w:r>
      <w:r>
        <w:rPr>
          <w:rFonts w:eastAsia="仿宋_GB2312" w:hint="eastAsia"/>
          <w:kern w:val="0"/>
          <w:sz w:val="28"/>
          <w:szCs w:val="28"/>
        </w:rPr>
        <w:t>包含</w:t>
      </w:r>
      <w:r w:rsidRPr="00E04492">
        <w:rPr>
          <w:rFonts w:eastAsia="仿宋_GB2312"/>
          <w:kern w:val="0"/>
          <w:sz w:val="28"/>
          <w:szCs w:val="28"/>
        </w:rPr>
        <w:t>住宅用房</w:t>
      </w:r>
      <w:r w:rsidRPr="00E04492">
        <w:rPr>
          <w:rFonts w:eastAsia="仿宋_GB2312" w:hint="eastAsia"/>
          <w:kern w:val="0"/>
          <w:sz w:val="28"/>
          <w:szCs w:val="28"/>
        </w:rPr>
        <w:t>共</w:t>
      </w:r>
      <w:r w:rsidRPr="00E04492">
        <w:rPr>
          <w:rFonts w:eastAsia="仿宋_GB2312" w:hint="eastAsia"/>
          <w:kern w:val="0"/>
          <w:sz w:val="28"/>
          <w:szCs w:val="28"/>
        </w:rPr>
        <w:t>7</w:t>
      </w:r>
      <w:r w:rsidRPr="00E04492">
        <w:rPr>
          <w:rFonts w:eastAsia="仿宋_GB2312" w:hint="eastAsia"/>
          <w:kern w:val="0"/>
          <w:sz w:val="28"/>
          <w:szCs w:val="28"/>
        </w:rPr>
        <w:t>套</w:t>
      </w:r>
      <w:r>
        <w:rPr>
          <w:rFonts w:eastAsia="仿宋_GB2312" w:hint="eastAsia"/>
          <w:kern w:val="0"/>
          <w:sz w:val="28"/>
          <w:szCs w:val="28"/>
        </w:rPr>
        <w:t>，</w:t>
      </w:r>
      <w:r w:rsidRPr="00E04492">
        <w:rPr>
          <w:rFonts w:eastAsia="仿宋_GB2312"/>
          <w:kern w:val="0"/>
          <w:sz w:val="28"/>
          <w:szCs w:val="28"/>
        </w:rPr>
        <w:t>位于</w:t>
      </w:r>
      <w:r w:rsidRPr="00E04492">
        <w:rPr>
          <w:rFonts w:eastAsia="仿宋_GB2312" w:hint="eastAsia"/>
          <w:kern w:val="0"/>
          <w:sz w:val="28"/>
          <w:szCs w:val="28"/>
        </w:rPr>
        <w:t>北京市朝阳区和平里东土城路</w:t>
      </w:r>
      <w:r w:rsidRPr="00E04492">
        <w:rPr>
          <w:rFonts w:eastAsia="仿宋_GB2312" w:hint="eastAsia"/>
          <w:kern w:val="0"/>
          <w:sz w:val="28"/>
          <w:szCs w:val="28"/>
        </w:rPr>
        <w:t>1</w:t>
      </w:r>
      <w:r w:rsidRPr="00E04492">
        <w:rPr>
          <w:rFonts w:eastAsia="仿宋_GB2312" w:hint="eastAsia"/>
          <w:kern w:val="0"/>
          <w:sz w:val="28"/>
          <w:szCs w:val="28"/>
        </w:rPr>
        <w:t>号院</w:t>
      </w:r>
      <w:r w:rsidRPr="00E04492">
        <w:rPr>
          <w:rFonts w:eastAsia="仿宋_GB2312" w:hint="eastAsia"/>
          <w:kern w:val="0"/>
          <w:sz w:val="28"/>
          <w:szCs w:val="28"/>
        </w:rPr>
        <w:t>1</w:t>
      </w:r>
      <w:r w:rsidRPr="00E04492">
        <w:rPr>
          <w:rFonts w:eastAsia="仿宋_GB2312" w:hint="eastAsia"/>
          <w:kern w:val="0"/>
          <w:sz w:val="28"/>
          <w:szCs w:val="28"/>
        </w:rPr>
        <w:t>号楼</w:t>
      </w:r>
      <w:r w:rsidRPr="00E04492">
        <w:rPr>
          <w:rFonts w:eastAsia="仿宋_GB2312" w:hint="eastAsia"/>
          <w:kern w:val="0"/>
          <w:sz w:val="28"/>
          <w:szCs w:val="28"/>
        </w:rPr>
        <w:t>3</w:t>
      </w:r>
      <w:r w:rsidRPr="00E04492">
        <w:rPr>
          <w:rFonts w:eastAsia="仿宋_GB2312" w:hint="eastAsia"/>
          <w:kern w:val="0"/>
          <w:sz w:val="28"/>
          <w:szCs w:val="28"/>
        </w:rPr>
        <w:t>门</w:t>
      </w:r>
      <w:r w:rsidRPr="00E04492">
        <w:rPr>
          <w:rFonts w:eastAsia="仿宋_GB2312"/>
          <w:kern w:val="0"/>
          <w:sz w:val="28"/>
          <w:szCs w:val="28"/>
        </w:rPr>
        <w:t>，</w:t>
      </w:r>
      <w:r w:rsidRPr="00E04492">
        <w:rPr>
          <w:rFonts w:eastAsia="仿宋_GB2312" w:hint="eastAsia"/>
          <w:kern w:val="0"/>
          <w:sz w:val="28"/>
          <w:szCs w:val="28"/>
        </w:rPr>
        <w:t>原为煤矿企业的集资建房，根据《云南煤矿安全监察局驻京留守处资产处置协议》，云南煤矿安全监察局将当时集资建房单位所享受的房屋所有权按实际投资额变卖处置给云南东源煤业集团有限公司，</w:t>
      </w:r>
      <w:r w:rsidRPr="00E04492">
        <w:rPr>
          <w:rFonts w:eastAsia="仿宋_GB2312"/>
          <w:kern w:val="0"/>
          <w:sz w:val="28"/>
          <w:szCs w:val="28"/>
        </w:rPr>
        <w:t>该房屋</w:t>
      </w:r>
      <w:r w:rsidRPr="00E04492">
        <w:rPr>
          <w:rFonts w:eastAsia="仿宋_GB2312" w:hint="eastAsia"/>
          <w:kern w:val="0"/>
          <w:sz w:val="28"/>
          <w:szCs w:val="28"/>
        </w:rPr>
        <w:t>尚未办理不动产权证书。</w:t>
      </w:r>
      <w:r w:rsidRPr="0054791E">
        <w:rPr>
          <w:rFonts w:eastAsia="仿宋_GB2312" w:hint="eastAsia"/>
          <w:kern w:val="0"/>
          <w:sz w:val="28"/>
          <w:szCs w:val="28"/>
        </w:rPr>
        <w:t>本次评估</w:t>
      </w:r>
      <w:r>
        <w:rPr>
          <w:rFonts w:eastAsia="仿宋_GB2312" w:hint="eastAsia"/>
          <w:kern w:val="0"/>
          <w:sz w:val="28"/>
          <w:szCs w:val="28"/>
        </w:rPr>
        <w:t>对于上述房屋参照同小区住宅成交案例采用市场法进行评估，</w:t>
      </w:r>
      <w:r w:rsidRPr="0054791E">
        <w:rPr>
          <w:rFonts w:eastAsia="仿宋_GB2312" w:hint="eastAsia"/>
          <w:kern w:val="0"/>
          <w:sz w:val="28"/>
          <w:szCs w:val="28"/>
        </w:rPr>
        <w:t>未</w:t>
      </w:r>
      <w:r>
        <w:rPr>
          <w:rFonts w:eastAsia="仿宋_GB2312" w:hint="eastAsia"/>
          <w:kern w:val="0"/>
          <w:sz w:val="28"/>
          <w:szCs w:val="28"/>
        </w:rPr>
        <w:t>考虑</w:t>
      </w:r>
      <w:r w:rsidRPr="0054791E">
        <w:rPr>
          <w:rFonts w:eastAsia="仿宋_GB2312" w:hint="eastAsia"/>
          <w:kern w:val="0"/>
          <w:sz w:val="28"/>
          <w:szCs w:val="28"/>
        </w:rPr>
        <w:t>办理产权过程中涉及的代办费、律师费、产权登记费等费用</w:t>
      </w:r>
      <w:r>
        <w:rPr>
          <w:rFonts w:eastAsia="仿宋_GB2312" w:hint="eastAsia"/>
          <w:kern w:val="0"/>
          <w:sz w:val="28"/>
          <w:szCs w:val="28"/>
        </w:rPr>
        <w:t>对评估值的影响。</w:t>
      </w:r>
    </w:p>
    <w:p w:rsidR="001C5611" w:rsidRDefault="001C5611" w:rsidP="001C5611">
      <w:pPr>
        <w:widowControl/>
        <w:spacing w:line="360" w:lineRule="auto"/>
        <w:ind w:firstLineChars="200" w:firstLine="560"/>
        <w:rPr>
          <w:rFonts w:eastAsia="仿宋_GB2312"/>
          <w:kern w:val="0"/>
          <w:sz w:val="28"/>
          <w:szCs w:val="28"/>
        </w:rPr>
      </w:pPr>
      <w:r>
        <w:rPr>
          <w:rFonts w:eastAsia="仿宋_GB2312"/>
          <w:kern w:val="0"/>
          <w:sz w:val="28"/>
          <w:szCs w:val="28"/>
        </w:rPr>
        <w:t>3</w:t>
      </w:r>
      <w:r>
        <w:rPr>
          <w:rFonts w:eastAsia="仿宋_GB2312" w:hint="eastAsia"/>
          <w:kern w:val="0"/>
          <w:sz w:val="28"/>
          <w:szCs w:val="28"/>
        </w:rPr>
        <w:t>、本次评估中预付账款</w:t>
      </w:r>
      <w:r w:rsidRPr="0054791E">
        <w:rPr>
          <w:rFonts w:eastAsia="仿宋_GB2312" w:hint="eastAsia"/>
          <w:kern w:val="0"/>
          <w:sz w:val="28"/>
          <w:szCs w:val="28"/>
        </w:rPr>
        <w:t>昆明千益丰房地产开发有限公司</w:t>
      </w:r>
      <w:r w:rsidRPr="0054791E">
        <w:rPr>
          <w:rFonts w:eastAsia="仿宋_GB2312"/>
          <w:kern w:val="0"/>
          <w:sz w:val="28"/>
          <w:szCs w:val="28"/>
        </w:rPr>
        <w:t>74</w:t>
      </w:r>
      <w:r>
        <w:rPr>
          <w:rFonts w:eastAsia="仿宋_GB2312"/>
          <w:kern w:val="0"/>
          <w:sz w:val="28"/>
          <w:szCs w:val="28"/>
        </w:rPr>
        <w:t>,</w:t>
      </w:r>
      <w:r w:rsidRPr="0054791E">
        <w:rPr>
          <w:rFonts w:eastAsia="仿宋_GB2312"/>
          <w:kern w:val="0"/>
          <w:sz w:val="28"/>
          <w:szCs w:val="28"/>
        </w:rPr>
        <w:t>683</w:t>
      </w:r>
      <w:r>
        <w:rPr>
          <w:rFonts w:eastAsia="仿宋_GB2312"/>
          <w:kern w:val="0"/>
          <w:sz w:val="28"/>
          <w:szCs w:val="28"/>
        </w:rPr>
        <w:t>,</w:t>
      </w:r>
      <w:r w:rsidRPr="0054791E">
        <w:rPr>
          <w:rFonts w:eastAsia="仿宋_GB2312"/>
          <w:kern w:val="0"/>
          <w:sz w:val="28"/>
          <w:szCs w:val="28"/>
        </w:rPr>
        <w:t>604</w:t>
      </w:r>
      <w:r>
        <w:rPr>
          <w:rFonts w:eastAsia="仿宋_GB2312"/>
          <w:kern w:val="0"/>
          <w:sz w:val="28"/>
          <w:szCs w:val="28"/>
        </w:rPr>
        <w:t>.00</w:t>
      </w:r>
      <w:r>
        <w:rPr>
          <w:rFonts w:eastAsia="仿宋_GB2312" w:hint="eastAsia"/>
          <w:kern w:val="0"/>
          <w:sz w:val="28"/>
          <w:szCs w:val="28"/>
        </w:rPr>
        <w:t>元购房款和</w:t>
      </w:r>
      <w:r w:rsidRPr="0054791E">
        <w:rPr>
          <w:rFonts w:eastAsia="仿宋_GB2312" w:hint="eastAsia"/>
          <w:kern w:val="0"/>
          <w:sz w:val="28"/>
          <w:szCs w:val="28"/>
        </w:rPr>
        <w:t>誉峰峰景自救资金</w:t>
      </w:r>
      <w:r w:rsidRPr="0054791E">
        <w:rPr>
          <w:rFonts w:eastAsia="仿宋_GB2312"/>
          <w:kern w:val="0"/>
          <w:sz w:val="28"/>
          <w:szCs w:val="28"/>
        </w:rPr>
        <w:t>20</w:t>
      </w:r>
      <w:r>
        <w:rPr>
          <w:rFonts w:eastAsia="仿宋_GB2312"/>
          <w:kern w:val="0"/>
          <w:sz w:val="28"/>
          <w:szCs w:val="28"/>
        </w:rPr>
        <w:t>,</w:t>
      </w:r>
      <w:r w:rsidRPr="0054791E">
        <w:rPr>
          <w:rFonts w:eastAsia="仿宋_GB2312"/>
          <w:kern w:val="0"/>
          <w:sz w:val="28"/>
          <w:szCs w:val="28"/>
        </w:rPr>
        <w:t>842</w:t>
      </w:r>
      <w:r>
        <w:rPr>
          <w:rFonts w:eastAsia="仿宋_GB2312"/>
          <w:kern w:val="0"/>
          <w:sz w:val="28"/>
          <w:szCs w:val="28"/>
        </w:rPr>
        <w:t>,</w:t>
      </w:r>
      <w:r w:rsidRPr="0054791E">
        <w:rPr>
          <w:rFonts w:eastAsia="仿宋_GB2312"/>
          <w:kern w:val="0"/>
          <w:sz w:val="28"/>
          <w:szCs w:val="28"/>
        </w:rPr>
        <w:t>100</w:t>
      </w:r>
      <w:r>
        <w:rPr>
          <w:rFonts w:eastAsia="仿宋_GB2312" w:hint="eastAsia"/>
          <w:kern w:val="0"/>
          <w:sz w:val="28"/>
          <w:szCs w:val="28"/>
        </w:rPr>
        <w:t>.</w:t>
      </w:r>
      <w:r>
        <w:rPr>
          <w:rFonts w:eastAsia="仿宋_GB2312"/>
          <w:kern w:val="0"/>
          <w:sz w:val="28"/>
          <w:szCs w:val="28"/>
        </w:rPr>
        <w:t>00</w:t>
      </w:r>
      <w:r>
        <w:rPr>
          <w:rFonts w:eastAsia="仿宋_GB2312" w:hint="eastAsia"/>
          <w:kern w:val="0"/>
          <w:sz w:val="28"/>
          <w:szCs w:val="28"/>
        </w:rPr>
        <w:t>元，因楼盘烂尾，尚未交房，昆明</w:t>
      </w:r>
      <w:r w:rsidRPr="0054791E">
        <w:rPr>
          <w:rFonts w:eastAsia="仿宋_GB2312" w:hint="eastAsia"/>
          <w:kern w:val="0"/>
          <w:sz w:val="28"/>
          <w:szCs w:val="28"/>
        </w:rPr>
        <w:t>千益丰房地产开发有限公司</w:t>
      </w:r>
      <w:r>
        <w:rPr>
          <w:rFonts w:eastAsia="仿宋_GB2312" w:hint="eastAsia"/>
          <w:kern w:val="0"/>
          <w:sz w:val="28"/>
          <w:szCs w:val="28"/>
        </w:rPr>
        <w:t>已进入破产重整程序，截止评估基准日尚处于债权登记确认阶段，此次评估按账面值确定评估值，该预付购房款有存在被纳入破产财产的风险，此次评估未考虑该情况对评估结果的影响；</w:t>
      </w:r>
      <w:r w:rsidRPr="007F7F7F">
        <w:rPr>
          <w:rFonts w:eastAsia="仿宋_GB2312"/>
          <w:kern w:val="0"/>
          <w:sz w:val="28"/>
          <w:szCs w:val="28"/>
        </w:rPr>
        <w:t>对</w:t>
      </w:r>
      <w:r w:rsidRPr="007F7F7F">
        <w:rPr>
          <w:rFonts w:eastAsia="仿宋_GB2312" w:hint="eastAsia"/>
          <w:kern w:val="0"/>
          <w:sz w:val="28"/>
          <w:szCs w:val="28"/>
        </w:rPr>
        <w:t>云南泽珲房地产有限公司</w:t>
      </w:r>
      <w:r>
        <w:rPr>
          <w:rFonts w:eastAsia="仿宋_GB2312" w:hint="eastAsia"/>
          <w:kern w:val="0"/>
          <w:sz w:val="28"/>
          <w:szCs w:val="28"/>
        </w:rPr>
        <w:t>的其他应收款</w:t>
      </w:r>
      <w:r w:rsidRPr="007F7F7F">
        <w:rPr>
          <w:rFonts w:eastAsia="仿宋_GB2312"/>
          <w:kern w:val="0"/>
          <w:sz w:val="28"/>
          <w:szCs w:val="28"/>
        </w:rPr>
        <w:t>213</w:t>
      </w:r>
      <w:r>
        <w:rPr>
          <w:rFonts w:eastAsia="仿宋_GB2312"/>
          <w:kern w:val="0"/>
          <w:sz w:val="28"/>
          <w:szCs w:val="28"/>
        </w:rPr>
        <w:t>,</w:t>
      </w:r>
      <w:r w:rsidRPr="007F7F7F">
        <w:rPr>
          <w:rFonts w:eastAsia="仿宋_GB2312"/>
          <w:kern w:val="0"/>
          <w:sz w:val="28"/>
          <w:szCs w:val="28"/>
        </w:rPr>
        <w:t>007</w:t>
      </w:r>
      <w:r>
        <w:rPr>
          <w:rFonts w:eastAsia="仿宋_GB2312"/>
          <w:kern w:val="0"/>
          <w:sz w:val="28"/>
          <w:szCs w:val="28"/>
        </w:rPr>
        <w:t>,</w:t>
      </w:r>
      <w:r w:rsidRPr="007F7F7F">
        <w:rPr>
          <w:rFonts w:eastAsia="仿宋_GB2312"/>
          <w:kern w:val="0"/>
          <w:sz w:val="28"/>
          <w:szCs w:val="28"/>
        </w:rPr>
        <w:t>008.66</w:t>
      </w:r>
      <w:r>
        <w:rPr>
          <w:rFonts w:eastAsia="仿宋_GB2312" w:hint="eastAsia"/>
          <w:kern w:val="0"/>
          <w:sz w:val="28"/>
          <w:szCs w:val="28"/>
        </w:rPr>
        <w:t>元，具体情况为被评估企业</w:t>
      </w:r>
      <w:r w:rsidRPr="007F7F7F">
        <w:rPr>
          <w:rFonts w:eastAsia="仿宋_GB2312" w:hint="eastAsia"/>
          <w:kern w:val="0"/>
          <w:sz w:val="28"/>
          <w:szCs w:val="28"/>
        </w:rPr>
        <w:t>向云南泽珲房地产有限公司购置办公楼，签订《商品房购置意向书》，但房地产公司一房两卖，且已向第三方交房，东源煤业集团向云南省高级人民法院提</w:t>
      </w:r>
      <w:r w:rsidRPr="007F7F7F">
        <w:rPr>
          <w:rFonts w:eastAsia="仿宋_GB2312" w:hint="eastAsia"/>
          <w:kern w:val="0"/>
          <w:sz w:val="28"/>
          <w:szCs w:val="28"/>
        </w:rPr>
        <w:lastRenderedPageBreak/>
        <w:t>起诉讼，判决泽珲公司返还东源煤业集团购房意向金，并承担补偿款、资金占用利息及罚息，最终达成和解，但泽珲公司无可执行财产，到期无法赔付约定款项。</w:t>
      </w:r>
      <w:r>
        <w:rPr>
          <w:rFonts w:eastAsia="仿宋_GB2312" w:hint="eastAsia"/>
          <w:kern w:val="0"/>
          <w:sz w:val="28"/>
          <w:szCs w:val="28"/>
        </w:rPr>
        <w:t>企业全额计提坏账准备，经个别认定和账龄分析，全额确定风险损失，若该企业进行破产清算程序，有可能回收部分金额，提请报告使用者关注上述事项的影响。</w:t>
      </w:r>
    </w:p>
    <w:p w:rsidR="001C5611" w:rsidRDefault="001C5611" w:rsidP="001C5611">
      <w:pPr>
        <w:widowControl/>
        <w:spacing w:line="360" w:lineRule="auto"/>
        <w:ind w:firstLineChars="200" w:firstLine="560"/>
        <w:rPr>
          <w:rFonts w:ascii="仿宋" w:eastAsia="仿宋" w:hAnsi="仿宋"/>
          <w:sz w:val="28"/>
          <w:szCs w:val="28"/>
        </w:rPr>
      </w:pPr>
      <w:r>
        <w:rPr>
          <w:rFonts w:eastAsia="仿宋_GB2312" w:hint="eastAsia"/>
          <w:kern w:val="0"/>
          <w:sz w:val="28"/>
          <w:szCs w:val="28"/>
        </w:rPr>
        <w:t>4</w:t>
      </w:r>
      <w:r>
        <w:rPr>
          <w:rFonts w:eastAsia="仿宋_GB2312" w:hint="eastAsia"/>
          <w:kern w:val="0"/>
          <w:sz w:val="28"/>
          <w:szCs w:val="28"/>
        </w:rPr>
        <w:t>、此次评估</w:t>
      </w:r>
      <w:r>
        <w:rPr>
          <w:rFonts w:ascii="仿宋" w:eastAsia="仿宋" w:hAnsi="仿宋" w:hint="eastAsia"/>
          <w:sz w:val="28"/>
          <w:szCs w:val="28"/>
        </w:rPr>
        <w:t>涉及共2</w:t>
      </w:r>
      <w:r>
        <w:rPr>
          <w:rFonts w:ascii="仿宋" w:eastAsia="仿宋" w:hAnsi="仿宋"/>
          <w:sz w:val="28"/>
          <w:szCs w:val="28"/>
        </w:rPr>
        <w:t>0</w:t>
      </w:r>
      <w:r>
        <w:rPr>
          <w:rFonts w:ascii="仿宋" w:eastAsia="仿宋" w:hAnsi="仿宋" w:hint="eastAsia"/>
          <w:sz w:val="28"/>
          <w:szCs w:val="28"/>
        </w:rPr>
        <w:t>个矿权的评估，本次评估特委托</w:t>
      </w:r>
      <w:r w:rsidRPr="00C75B44">
        <w:rPr>
          <w:rFonts w:ascii="仿宋" w:eastAsia="仿宋" w:hAnsi="仿宋" w:hint="eastAsia"/>
          <w:sz w:val="28"/>
          <w:szCs w:val="28"/>
        </w:rPr>
        <w:t>云南君信矿业权评估有限公司</w:t>
      </w:r>
      <w:r>
        <w:rPr>
          <w:rFonts w:ascii="仿宋" w:eastAsia="仿宋" w:hAnsi="仿宋" w:hint="eastAsia"/>
          <w:sz w:val="28"/>
          <w:szCs w:val="28"/>
        </w:rPr>
        <w:t>对该2</w:t>
      </w:r>
      <w:r>
        <w:rPr>
          <w:rFonts w:ascii="仿宋" w:eastAsia="仿宋" w:hAnsi="仿宋"/>
          <w:sz w:val="28"/>
          <w:szCs w:val="28"/>
        </w:rPr>
        <w:t>0</w:t>
      </w:r>
      <w:r>
        <w:rPr>
          <w:rFonts w:ascii="仿宋" w:eastAsia="仿宋" w:hAnsi="仿宋" w:hint="eastAsia"/>
          <w:sz w:val="28"/>
          <w:szCs w:val="28"/>
        </w:rPr>
        <w:t>项矿业权价值以相同目的、相同评估基准日进行评估，并出具了正式矿业权评估报告，我们引用了该部分矿业权评估报告的结论，我公司对矿权相关信息进行了必要的核实，</w:t>
      </w:r>
      <w:r>
        <w:rPr>
          <w:rFonts w:eastAsia="仿宋_GB2312" w:hint="eastAsia"/>
          <w:sz w:val="28"/>
        </w:rPr>
        <w:t>并在上述工作基础上将引用了矿业权评估结果。我公司按规定承担引用报告结论的相关责任。凡涉及有关矿业权评估的内容，应由云南君信矿业权评估有限公司负责解释。本报告使用者欲了解矿业权评估的详细情况，应仔细阅读云南君信矿业权评估有限公司出具的报告书全文。</w:t>
      </w:r>
      <w:r>
        <w:rPr>
          <w:rFonts w:ascii="仿宋" w:eastAsia="仿宋" w:hAnsi="仿宋" w:hint="eastAsia"/>
          <w:sz w:val="28"/>
          <w:szCs w:val="28"/>
        </w:rPr>
        <w:t>此外东源煤业集团有限公司、云南省羊场煤矿、云南省恩洪煤矿、云南省后所煤矿、云南省兴云煤矿及云南省圭山煤矿分别持有云南东源煤电股份有限公司的股份，本次评估因委托人同时委托中同华资产评估有限公司对该公司相同目的、相同基准日进行了评估，此次评估引用了该公司评估报告的结果，凡涉及云南东源煤电股份有限公司评估相关事宜，应有中同华资产评估有限公司负责解释，在此特作说明。</w:t>
      </w:r>
    </w:p>
    <w:p w:rsidR="001C5611" w:rsidRPr="009B2D46" w:rsidRDefault="001C5611" w:rsidP="001C5611">
      <w:pPr>
        <w:spacing w:line="360" w:lineRule="auto"/>
        <w:ind w:firstLineChars="200" w:firstLine="560"/>
        <w:rPr>
          <w:rFonts w:ascii="仿宋" w:eastAsia="仿宋" w:hAnsi="仿宋" w:hint="eastAsia"/>
          <w:sz w:val="28"/>
          <w:szCs w:val="28"/>
        </w:rPr>
      </w:pPr>
      <w:r w:rsidRPr="009B2D46">
        <w:rPr>
          <w:rFonts w:ascii="仿宋" w:eastAsia="仿宋" w:hAnsi="仿宋" w:hint="eastAsia"/>
          <w:sz w:val="28"/>
          <w:szCs w:val="28"/>
        </w:rPr>
        <w:t>在使用本评估结论时，特别提请报告使用人使用本报告时注意上述特殊事项以及期后重大事项。</w:t>
      </w:r>
    </w:p>
    <w:p w:rsidR="001C5611" w:rsidRPr="009B2D46" w:rsidRDefault="001C5611" w:rsidP="001C5611">
      <w:pPr>
        <w:spacing w:line="360" w:lineRule="auto"/>
        <w:ind w:firstLineChars="200" w:firstLine="560"/>
        <w:rPr>
          <w:rFonts w:ascii="仿宋" w:eastAsia="仿宋" w:hAnsi="仿宋"/>
          <w:sz w:val="28"/>
          <w:szCs w:val="28"/>
        </w:rPr>
      </w:pPr>
      <w:r w:rsidRPr="009B2D46">
        <w:rPr>
          <w:rFonts w:ascii="仿宋" w:eastAsia="仿宋" w:hAnsi="仿宋" w:hint="eastAsia"/>
          <w:sz w:val="28"/>
          <w:szCs w:val="28"/>
        </w:rPr>
        <w:t>根据国有资产评估管理的相关规定，资产评估报告须经核准后使</w:t>
      </w:r>
      <w:r w:rsidRPr="009B2D46">
        <w:rPr>
          <w:rFonts w:ascii="仿宋" w:eastAsia="仿宋" w:hAnsi="仿宋" w:hint="eastAsia"/>
          <w:sz w:val="28"/>
          <w:szCs w:val="28"/>
        </w:rPr>
        <w:lastRenderedPageBreak/>
        <w:t>用，经核准后的评估结果使用有效期一年，即自</w:t>
      </w:r>
      <w:r>
        <w:rPr>
          <w:rFonts w:ascii="仿宋" w:eastAsia="仿宋" w:hAnsi="仿宋" w:hint="eastAsia"/>
          <w:sz w:val="28"/>
          <w:szCs w:val="28"/>
        </w:rPr>
        <w:t>2019年9月30日</w:t>
      </w:r>
      <w:r w:rsidRPr="009B2D46">
        <w:rPr>
          <w:rFonts w:ascii="仿宋" w:eastAsia="仿宋" w:hAnsi="仿宋" w:hint="eastAsia"/>
          <w:sz w:val="28"/>
          <w:szCs w:val="28"/>
        </w:rPr>
        <w:t>至20</w:t>
      </w:r>
      <w:r>
        <w:rPr>
          <w:rFonts w:ascii="仿宋" w:eastAsia="仿宋" w:hAnsi="仿宋"/>
          <w:sz w:val="28"/>
          <w:szCs w:val="28"/>
        </w:rPr>
        <w:t>20</w:t>
      </w:r>
      <w:r w:rsidRPr="009B2D46">
        <w:rPr>
          <w:rFonts w:ascii="仿宋" w:eastAsia="仿宋" w:hAnsi="仿宋" w:hint="eastAsia"/>
          <w:sz w:val="28"/>
          <w:szCs w:val="28"/>
        </w:rPr>
        <w:t>年</w:t>
      </w:r>
      <w:r>
        <w:rPr>
          <w:rFonts w:ascii="仿宋" w:eastAsia="仿宋" w:hAnsi="仿宋"/>
          <w:sz w:val="28"/>
          <w:szCs w:val="28"/>
        </w:rPr>
        <w:t>9</w:t>
      </w:r>
      <w:r w:rsidRPr="009B2D46">
        <w:rPr>
          <w:rFonts w:ascii="仿宋" w:eastAsia="仿宋" w:hAnsi="仿宋" w:hint="eastAsia"/>
          <w:sz w:val="28"/>
          <w:szCs w:val="28"/>
        </w:rPr>
        <w:t>月</w:t>
      </w:r>
      <w:r>
        <w:rPr>
          <w:rFonts w:ascii="仿宋" w:eastAsia="仿宋" w:hAnsi="仿宋"/>
          <w:sz w:val="28"/>
          <w:szCs w:val="28"/>
        </w:rPr>
        <w:t>29</w:t>
      </w:r>
      <w:r w:rsidRPr="009B2D46">
        <w:rPr>
          <w:rFonts w:ascii="仿宋" w:eastAsia="仿宋" w:hAnsi="仿宋" w:hint="eastAsia"/>
          <w:sz w:val="28"/>
          <w:szCs w:val="28"/>
        </w:rPr>
        <w:t>日使用有效。</w:t>
      </w:r>
    </w:p>
    <w:p w:rsidR="00DB4D52" w:rsidRPr="001C5611" w:rsidRDefault="00DB4D52">
      <w:pPr>
        <w:rPr>
          <w:rFonts w:hint="eastAsia"/>
        </w:rPr>
      </w:pPr>
    </w:p>
    <w:sectPr w:rsidR="00DB4D52" w:rsidRPr="001C5611" w:rsidSect="009317D0">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1"/>
    <w:rsid w:val="001C5611"/>
    <w:rsid w:val="006812F9"/>
    <w:rsid w:val="007A2548"/>
    <w:rsid w:val="008B5548"/>
    <w:rsid w:val="009317D0"/>
    <w:rsid w:val="00DB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51331-C79F-47DB-96C9-2082BA35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11"/>
    <w:pPr>
      <w:widowControl w:val="0"/>
      <w:jc w:val="both"/>
    </w:pPr>
    <w:rPr>
      <w:rFonts w:ascii="Times New Roman" w:eastAsia="宋体" w:hAnsi="Times New Roman" w:cs="Times New Roman"/>
      <w:szCs w:val="24"/>
    </w:rPr>
  </w:style>
  <w:style w:type="paragraph" w:styleId="1">
    <w:name w:val="heading 1"/>
    <w:aliases w:val="Section Heading,章,章标题 1,地震报告1级章节名,一,篇,章标题,Heading One"/>
    <w:basedOn w:val="a"/>
    <w:next w:val="a"/>
    <w:link w:val="10"/>
    <w:qFormat/>
    <w:rsid w:val="001C56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C5611"/>
    <w:rPr>
      <w:rFonts w:ascii="Times New Roman" w:eastAsia="宋体" w:hAnsi="Times New Roman" w:cs="Times New Roman"/>
      <w:b/>
      <w:bCs/>
      <w:kern w:val="44"/>
      <w:sz w:val="44"/>
      <w:szCs w:val="44"/>
    </w:rPr>
  </w:style>
  <w:style w:type="character" w:customStyle="1" w:styleId="10">
    <w:name w:val="标题 1 字符"/>
    <w:link w:val="1"/>
    <w:qFormat/>
    <w:rsid w:val="001C5611"/>
    <w:rPr>
      <w:rFonts w:ascii="Times New Roman" w:eastAsia="宋体" w:hAnsi="Times New Roman" w:cs="Times New Roman"/>
      <w:b/>
      <w:bCs/>
      <w:kern w:val="44"/>
      <w:sz w:val="44"/>
      <w:szCs w:val="44"/>
    </w:rPr>
  </w:style>
  <w:style w:type="character" w:customStyle="1" w:styleId="ZWChar">
    <w:name w:val="ZW Char"/>
    <w:link w:val="ZW"/>
    <w:qFormat/>
    <w:rsid w:val="001C5611"/>
    <w:rPr>
      <w:rFonts w:ascii="Arial Narrow" w:eastAsia="昆仑楷体"/>
      <w:sz w:val="28"/>
    </w:rPr>
  </w:style>
  <w:style w:type="paragraph" w:customStyle="1" w:styleId="ZW">
    <w:name w:val="ZW"/>
    <w:basedOn w:val="a"/>
    <w:link w:val="ZWChar"/>
    <w:qFormat/>
    <w:rsid w:val="001C5611"/>
    <w:pPr>
      <w:adjustRightInd w:val="0"/>
      <w:spacing w:line="440" w:lineRule="atLeast"/>
      <w:ind w:firstLine="601"/>
      <w:textAlignment w:val="baseline"/>
    </w:pPr>
    <w:rPr>
      <w:rFonts w:ascii="Arial Narrow" w:eastAsia="昆仑楷体" w:hAnsiTheme="minorHAnsi" w:cstheme="minorBidi"/>
      <w:sz w:val="28"/>
      <w:szCs w:val="22"/>
    </w:rPr>
  </w:style>
  <w:style w:type="paragraph" w:customStyle="1" w:styleId="0">
    <w:name w:val="0正文格式"/>
    <w:basedOn w:val="a"/>
    <w:qFormat/>
    <w:rsid w:val="001C5611"/>
    <w:pPr>
      <w:spacing w:line="360" w:lineRule="auto"/>
      <w:ind w:firstLineChars="200" w:firstLine="200"/>
    </w:pPr>
    <w:rPr>
      <w:rFonts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彭海辉</dc:creator>
  <cp:keywords/>
  <dc:description/>
  <cp:lastModifiedBy>彭海辉</cp:lastModifiedBy>
  <cp:revision>1</cp:revision>
  <dcterms:created xsi:type="dcterms:W3CDTF">2019-12-24T01:46:00Z</dcterms:created>
  <dcterms:modified xsi:type="dcterms:W3CDTF">2019-12-24T01:47:00Z</dcterms:modified>
</cp:coreProperties>
</file>