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9E" w:rsidRPr="00474D9E" w:rsidRDefault="00474D9E" w:rsidP="00190583">
      <w:pPr>
        <w:spacing w:line="600" w:lineRule="exact"/>
        <w:jc w:val="center"/>
        <w:rPr>
          <w:rFonts w:ascii="仿宋" w:eastAsia="仿宋" w:hAnsi="仿宋"/>
          <w:b/>
          <w:iCs/>
          <w:sz w:val="32"/>
          <w:szCs w:val="32"/>
        </w:rPr>
      </w:pPr>
      <w:r w:rsidRPr="00474D9E">
        <w:rPr>
          <w:rFonts w:ascii="仿宋" w:eastAsia="仿宋" w:hAnsi="仿宋"/>
          <w:b/>
          <w:iCs/>
          <w:sz w:val="32"/>
          <w:szCs w:val="32"/>
        </w:rPr>
        <w:t>云南大为制焦有限公司拟股权转让所涉及的</w:t>
      </w:r>
    </w:p>
    <w:p w:rsidR="00474D9E" w:rsidRPr="00474D9E" w:rsidRDefault="00474D9E" w:rsidP="00190583">
      <w:pPr>
        <w:spacing w:line="600" w:lineRule="exact"/>
        <w:jc w:val="center"/>
        <w:rPr>
          <w:rFonts w:ascii="仿宋" w:eastAsia="仿宋" w:hAnsi="仿宋"/>
          <w:b/>
          <w:iCs/>
          <w:sz w:val="32"/>
          <w:szCs w:val="32"/>
        </w:rPr>
      </w:pPr>
      <w:r w:rsidRPr="00474D9E">
        <w:rPr>
          <w:rFonts w:ascii="仿宋" w:eastAsia="仿宋" w:hAnsi="仿宋"/>
          <w:b/>
          <w:iCs/>
          <w:sz w:val="32"/>
          <w:szCs w:val="32"/>
        </w:rPr>
        <w:t>富源团结煤业有限公司股东全部权益价值评估项目</w:t>
      </w:r>
    </w:p>
    <w:p w:rsidR="00474D9E" w:rsidRPr="00D30483" w:rsidRDefault="00474D9E" w:rsidP="00190583">
      <w:pPr>
        <w:spacing w:line="600" w:lineRule="exact"/>
        <w:jc w:val="center"/>
        <w:rPr>
          <w:rFonts w:ascii="仿宋" w:eastAsia="仿宋" w:hAnsi="仿宋"/>
          <w:b/>
          <w:iCs/>
          <w:sz w:val="32"/>
          <w:szCs w:val="32"/>
        </w:rPr>
      </w:pPr>
      <w:r>
        <w:rPr>
          <w:rFonts w:ascii="仿宋" w:eastAsia="仿宋" w:hAnsi="仿宋"/>
          <w:b/>
          <w:iCs/>
          <w:sz w:val="32"/>
          <w:szCs w:val="32"/>
        </w:rPr>
        <w:t>资产评估报告</w:t>
      </w:r>
      <w:r>
        <w:rPr>
          <w:rFonts w:ascii="仿宋" w:eastAsia="仿宋" w:hAnsi="仿宋" w:hint="eastAsia"/>
          <w:b/>
          <w:iCs/>
          <w:sz w:val="32"/>
          <w:szCs w:val="32"/>
        </w:rPr>
        <w:t>摘要</w:t>
      </w:r>
    </w:p>
    <w:p w:rsidR="006E14DF" w:rsidRPr="00234EDE" w:rsidRDefault="006E14DF" w:rsidP="006E14DF">
      <w:pPr>
        <w:pStyle w:val="a3"/>
        <w:spacing w:line="360" w:lineRule="auto"/>
        <w:ind w:firstLineChars="200" w:firstLine="480"/>
        <w:rPr>
          <w:rFonts w:hint="eastAsia"/>
          <w:sz w:val="24"/>
        </w:rPr>
      </w:pPr>
      <w:r w:rsidRPr="00234EDE">
        <w:rPr>
          <w:rFonts w:ascii="Times New Roman" w:hint="eastAsia"/>
          <w:sz w:val="24"/>
        </w:rPr>
        <w:t>北京中同华资产评估有限公司</w:t>
      </w:r>
      <w:r w:rsidRPr="00234EDE">
        <w:rPr>
          <w:rFonts w:ascii="Times New Roman"/>
          <w:sz w:val="24"/>
        </w:rPr>
        <w:t>（以下简称</w:t>
      </w:r>
      <w:r w:rsidRPr="00234EDE">
        <w:rPr>
          <w:rFonts w:ascii="Times New Roman"/>
          <w:sz w:val="24"/>
        </w:rPr>
        <w:t>“</w:t>
      </w:r>
      <w:r w:rsidRPr="00234EDE">
        <w:rPr>
          <w:rFonts w:ascii="Times New Roman" w:hint="eastAsia"/>
          <w:sz w:val="24"/>
        </w:rPr>
        <w:t>中同华</w:t>
      </w:r>
      <w:r w:rsidRPr="00234EDE">
        <w:rPr>
          <w:rFonts w:ascii="Times New Roman"/>
          <w:sz w:val="24"/>
        </w:rPr>
        <w:t>”</w:t>
      </w:r>
      <w:r w:rsidRPr="00234EDE">
        <w:rPr>
          <w:rFonts w:ascii="Times New Roman"/>
          <w:sz w:val="24"/>
        </w:rPr>
        <w:t>或我</w:t>
      </w:r>
      <w:r w:rsidRPr="00234EDE">
        <w:rPr>
          <w:rFonts w:ascii="Times New Roman" w:hint="eastAsia"/>
          <w:sz w:val="24"/>
        </w:rPr>
        <w:t>公司</w:t>
      </w:r>
      <w:r w:rsidRPr="00234EDE">
        <w:rPr>
          <w:rFonts w:ascii="Times New Roman"/>
          <w:sz w:val="24"/>
        </w:rPr>
        <w:t>）接受</w:t>
      </w:r>
      <w:r w:rsidRPr="00234EDE">
        <w:rPr>
          <w:rFonts w:hint="eastAsia"/>
          <w:sz w:val="24"/>
        </w:rPr>
        <w:t>贵公司的委托，根据有关法律、法规和资产评估准则、资产评估原则，采用公认的评估方法，按照必要的评估程序，对</w:t>
      </w:r>
      <w:r>
        <w:rPr>
          <w:rFonts w:hint="eastAsia"/>
          <w:sz w:val="24"/>
        </w:rPr>
        <w:t>富源团结煤业有限公司</w:t>
      </w:r>
      <w:r w:rsidRPr="00234EDE">
        <w:rPr>
          <w:rFonts w:hint="eastAsia"/>
          <w:sz w:val="24"/>
        </w:rPr>
        <w:t>的股东全部权益在评估基准日的市场价值进行了评估。现将评估报告摘要如下：</w:t>
      </w:r>
    </w:p>
    <w:p w:rsidR="006E14DF" w:rsidRPr="00234EDE" w:rsidRDefault="006E14DF" w:rsidP="006E14DF">
      <w:pPr>
        <w:pStyle w:val="a3"/>
        <w:spacing w:line="360" w:lineRule="auto"/>
        <w:ind w:firstLineChars="200" w:firstLine="480"/>
        <w:rPr>
          <w:sz w:val="24"/>
        </w:rPr>
      </w:pPr>
      <w:r w:rsidRPr="00234EDE">
        <w:rPr>
          <w:sz w:val="24"/>
        </w:rPr>
        <w:t>评估目的：</w:t>
      </w:r>
      <w:r w:rsidRPr="00234EDE">
        <w:rPr>
          <w:rFonts w:hint="eastAsia"/>
          <w:sz w:val="24"/>
        </w:rPr>
        <w:t>为云南大为制焦有限公司拟股权转让所涉及的富源团结煤业有限公司股东全部权益提供价值参考依据</w:t>
      </w:r>
      <w:r w:rsidRPr="00234EDE">
        <w:rPr>
          <w:sz w:val="24"/>
        </w:rPr>
        <w:t>。</w:t>
      </w:r>
    </w:p>
    <w:p w:rsidR="006E14DF" w:rsidRPr="00234EDE" w:rsidRDefault="006E14DF" w:rsidP="006E14DF">
      <w:pPr>
        <w:pStyle w:val="a3"/>
        <w:spacing w:line="360" w:lineRule="auto"/>
        <w:ind w:firstLineChars="200" w:firstLine="480"/>
        <w:rPr>
          <w:sz w:val="24"/>
        </w:rPr>
      </w:pPr>
      <w:r w:rsidRPr="00234EDE">
        <w:rPr>
          <w:sz w:val="24"/>
        </w:rPr>
        <w:t>评估对象</w:t>
      </w:r>
      <w:r w:rsidRPr="00234EDE">
        <w:rPr>
          <w:rFonts w:hint="eastAsia"/>
          <w:sz w:val="24"/>
        </w:rPr>
        <w:t>：富源团结煤业有限公司</w:t>
      </w:r>
      <w:r w:rsidRPr="00234EDE">
        <w:rPr>
          <w:sz w:val="24"/>
        </w:rPr>
        <w:t>的股东全部权益</w:t>
      </w:r>
      <w:r w:rsidRPr="00234EDE">
        <w:rPr>
          <w:rFonts w:hint="eastAsia"/>
          <w:sz w:val="24"/>
        </w:rPr>
        <w:t>。</w:t>
      </w:r>
    </w:p>
    <w:p w:rsidR="006E14DF" w:rsidRPr="00234EDE" w:rsidRDefault="006E14DF" w:rsidP="006E14DF">
      <w:pPr>
        <w:pStyle w:val="a3"/>
        <w:spacing w:line="360" w:lineRule="auto"/>
        <w:ind w:firstLineChars="200" w:firstLine="480"/>
        <w:rPr>
          <w:sz w:val="24"/>
        </w:rPr>
      </w:pPr>
      <w:r w:rsidRPr="00234EDE">
        <w:rPr>
          <w:sz w:val="24"/>
        </w:rPr>
        <w:t>评估范围：</w:t>
      </w:r>
      <w:r w:rsidRPr="00234EDE">
        <w:rPr>
          <w:rFonts w:hint="eastAsia"/>
          <w:sz w:val="24"/>
        </w:rPr>
        <w:t>富源团结煤业有限公司</w:t>
      </w:r>
      <w:r w:rsidRPr="00234EDE">
        <w:rPr>
          <w:sz w:val="24"/>
        </w:rPr>
        <w:t>的</w:t>
      </w:r>
      <w:r w:rsidRPr="00234EDE">
        <w:rPr>
          <w:rFonts w:hint="eastAsia"/>
          <w:sz w:val="24"/>
        </w:rPr>
        <w:t>全部</w:t>
      </w:r>
      <w:r w:rsidRPr="00234EDE">
        <w:rPr>
          <w:sz w:val="24"/>
        </w:rPr>
        <w:t>资产及负债，包括流动资产</w:t>
      </w:r>
      <w:r w:rsidRPr="00234EDE">
        <w:rPr>
          <w:rFonts w:hint="eastAsia"/>
          <w:sz w:val="24"/>
        </w:rPr>
        <w:t>、</w:t>
      </w:r>
      <w:r w:rsidRPr="00234EDE">
        <w:rPr>
          <w:sz w:val="24"/>
        </w:rPr>
        <w:t>固定资产、在建工程</w:t>
      </w:r>
      <w:r w:rsidRPr="00234EDE">
        <w:rPr>
          <w:rFonts w:hint="eastAsia"/>
          <w:sz w:val="24"/>
        </w:rPr>
        <w:t>、</w:t>
      </w:r>
      <w:r w:rsidRPr="00234EDE">
        <w:rPr>
          <w:sz w:val="24"/>
        </w:rPr>
        <w:t>无形资产</w:t>
      </w:r>
      <w:r>
        <w:rPr>
          <w:rFonts w:hint="eastAsia"/>
          <w:sz w:val="24"/>
        </w:rPr>
        <w:t>和</w:t>
      </w:r>
      <w:r w:rsidRPr="00234EDE">
        <w:rPr>
          <w:sz w:val="24"/>
        </w:rPr>
        <w:t>流动负债。</w:t>
      </w:r>
    </w:p>
    <w:p w:rsidR="006E14DF" w:rsidRPr="00234EDE" w:rsidRDefault="006E14DF" w:rsidP="006E14DF">
      <w:pPr>
        <w:pStyle w:val="a3"/>
        <w:spacing w:line="360" w:lineRule="auto"/>
        <w:ind w:firstLineChars="200" w:firstLine="480"/>
        <w:rPr>
          <w:rFonts w:ascii="Times New Roman"/>
          <w:sz w:val="24"/>
        </w:rPr>
      </w:pPr>
      <w:r w:rsidRPr="00234EDE">
        <w:rPr>
          <w:rFonts w:ascii="Times New Roman"/>
          <w:sz w:val="24"/>
        </w:rPr>
        <w:t>评估基准日：</w:t>
      </w:r>
      <w:r w:rsidRPr="00234EDE">
        <w:rPr>
          <w:rFonts w:ascii="Times New Roman"/>
          <w:sz w:val="24"/>
        </w:rPr>
        <w:t>2019</w:t>
      </w:r>
      <w:r w:rsidRPr="00234EDE">
        <w:rPr>
          <w:rFonts w:ascii="Times New Roman"/>
          <w:sz w:val="24"/>
        </w:rPr>
        <w:t>年</w:t>
      </w:r>
      <w:r w:rsidRPr="00234EDE">
        <w:rPr>
          <w:rFonts w:ascii="Times New Roman"/>
          <w:sz w:val="24"/>
        </w:rPr>
        <w:t>6</w:t>
      </w:r>
      <w:r w:rsidRPr="00234EDE">
        <w:rPr>
          <w:rFonts w:ascii="Times New Roman"/>
          <w:sz w:val="24"/>
        </w:rPr>
        <w:t>月</w:t>
      </w:r>
      <w:r w:rsidRPr="00234EDE">
        <w:rPr>
          <w:rFonts w:ascii="Times New Roman"/>
          <w:sz w:val="24"/>
        </w:rPr>
        <w:t>30</w:t>
      </w:r>
      <w:r w:rsidRPr="00234EDE">
        <w:rPr>
          <w:rFonts w:ascii="Times New Roman"/>
          <w:sz w:val="24"/>
        </w:rPr>
        <w:t>日。</w:t>
      </w:r>
    </w:p>
    <w:p w:rsidR="006E14DF" w:rsidRPr="00234EDE" w:rsidRDefault="006E14DF" w:rsidP="006E14DF">
      <w:pPr>
        <w:pStyle w:val="a3"/>
        <w:spacing w:line="360" w:lineRule="auto"/>
        <w:ind w:firstLineChars="200" w:firstLine="480"/>
        <w:rPr>
          <w:sz w:val="24"/>
        </w:rPr>
      </w:pPr>
      <w:r w:rsidRPr="00234EDE">
        <w:rPr>
          <w:sz w:val="24"/>
        </w:rPr>
        <w:t>价值类型：市场价值</w:t>
      </w:r>
    </w:p>
    <w:p w:rsidR="006E14DF" w:rsidRPr="00234EDE" w:rsidRDefault="006E14DF" w:rsidP="006E14DF">
      <w:pPr>
        <w:pStyle w:val="a3"/>
        <w:spacing w:line="360" w:lineRule="auto"/>
        <w:ind w:firstLineChars="200" w:firstLine="480"/>
        <w:rPr>
          <w:sz w:val="24"/>
        </w:rPr>
      </w:pPr>
      <w:r w:rsidRPr="00234EDE">
        <w:rPr>
          <w:sz w:val="24"/>
        </w:rPr>
        <w:t>评估方法：</w:t>
      </w:r>
      <w:r w:rsidRPr="00234EDE">
        <w:rPr>
          <w:rFonts w:hint="eastAsia"/>
          <w:sz w:val="24"/>
        </w:rPr>
        <w:t>资产</w:t>
      </w:r>
      <w:r w:rsidRPr="00234EDE">
        <w:rPr>
          <w:sz w:val="24"/>
        </w:rPr>
        <w:t>基础法、收益法</w:t>
      </w:r>
    </w:p>
    <w:p w:rsidR="006E14DF" w:rsidRPr="00F33CA2" w:rsidRDefault="006E14DF" w:rsidP="006E14DF">
      <w:pPr>
        <w:pStyle w:val="a3"/>
        <w:spacing w:line="360" w:lineRule="auto"/>
        <w:ind w:firstLineChars="200" w:firstLine="480"/>
        <w:rPr>
          <w:sz w:val="24"/>
        </w:rPr>
      </w:pPr>
      <w:r w:rsidRPr="00234EDE">
        <w:rPr>
          <w:sz w:val="24"/>
        </w:rPr>
        <w:t>评估结论：本资产评估报告选用</w:t>
      </w:r>
      <w:r w:rsidRPr="00234EDE">
        <w:rPr>
          <w:rFonts w:hint="eastAsia"/>
          <w:sz w:val="24"/>
        </w:rPr>
        <w:t>资产</w:t>
      </w:r>
      <w:r w:rsidRPr="00234EDE">
        <w:rPr>
          <w:sz w:val="24"/>
        </w:rPr>
        <w:t>基础法评估结果作为评估结论。具体结论如</w:t>
      </w:r>
      <w:r w:rsidRPr="00F33CA2">
        <w:rPr>
          <w:sz w:val="24"/>
        </w:rPr>
        <w:t>下：</w:t>
      </w:r>
    </w:p>
    <w:p w:rsidR="006E14DF" w:rsidRPr="000A0F22" w:rsidRDefault="006E14DF" w:rsidP="006E14DF">
      <w:pPr>
        <w:spacing w:before="120" w:after="120"/>
        <w:jc w:val="center"/>
        <w:rPr>
          <w:sz w:val="28"/>
        </w:rPr>
      </w:pPr>
      <w:r w:rsidRPr="000A0F22">
        <w:rPr>
          <w:b/>
          <w:bCs/>
          <w:sz w:val="24"/>
        </w:rPr>
        <w:t>资产评估结果汇总表</w:t>
      </w:r>
    </w:p>
    <w:p w:rsidR="006E14DF" w:rsidRPr="000A0F22" w:rsidRDefault="006E14DF" w:rsidP="006E14DF">
      <w:pPr>
        <w:ind w:right="210"/>
        <w:jc w:val="right"/>
        <w:rPr>
          <w:szCs w:val="21"/>
        </w:rPr>
      </w:pPr>
      <w:r w:rsidRPr="000A0F22">
        <w:rPr>
          <w:szCs w:val="21"/>
        </w:rPr>
        <w:t>金额单位：人民币万元</w:t>
      </w:r>
    </w:p>
    <w:tbl>
      <w:tblPr>
        <w:tblW w:w="5000" w:type="pct"/>
        <w:jc w:val="right"/>
        <w:tblLook w:val="04A0"/>
      </w:tblPr>
      <w:tblGrid>
        <w:gridCol w:w="2416"/>
        <w:gridCol w:w="416"/>
        <w:gridCol w:w="1600"/>
        <w:gridCol w:w="1520"/>
        <w:gridCol w:w="1343"/>
        <w:gridCol w:w="1233"/>
      </w:tblGrid>
      <w:tr w:rsidR="006E14DF" w:rsidRPr="00D14415" w:rsidTr="007A1A40">
        <w:trPr>
          <w:trHeight w:val="330"/>
          <w:tblHeader/>
          <w:jc w:val="right"/>
        </w:trPr>
        <w:tc>
          <w:tcPr>
            <w:tcW w:w="1555" w:type="pct"/>
            <w:gridSpan w:val="2"/>
            <w:vMerge w:val="restart"/>
            <w:tcBorders>
              <w:top w:val="single" w:sz="4" w:space="0" w:color="auto"/>
              <w:bottom w:val="single" w:sz="4" w:space="0" w:color="000000"/>
              <w:right w:val="single" w:sz="4" w:space="0" w:color="000000"/>
            </w:tcBorders>
            <w:shd w:val="clear" w:color="auto" w:fill="auto"/>
            <w:vAlign w:val="center"/>
            <w:hideMark/>
          </w:tcPr>
          <w:p w:rsidR="006E14DF" w:rsidRPr="00D14415" w:rsidRDefault="006E14DF" w:rsidP="007A1A40">
            <w:pPr>
              <w:widowControl/>
              <w:jc w:val="center"/>
              <w:rPr>
                <w:b/>
                <w:bCs/>
                <w:kern w:val="0"/>
                <w:sz w:val="20"/>
                <w:szCs w:val="20"/>
              </w:rPr>
            </w:pPr>
            <w:bookmarkStart w:id="0" w:name="_Hlk22126417"/>
            <w:r w:rsidRPr="00D14415">
              <w:rPr>
                <w:b/>
                <w:bCs/>
                <w:kern w:val="0"/>
                <w:sz w:val="20"/>
                <w:szCs w:val="20"/>
              </w:rPr>
              <w:t>项目</w:t>
            </w:r>
          </w:p>
        </w:tc>
        <w:tc>
          <w:tcPr>
            <w:tcW w:w="983" w:type="pct"/>
            <w:tcBorders>
              <w:top w:val="single" w:sz="4" w:space="0" w:color="auto"/>
              <w:left w:val="nil"/>
              <w:bottom w:val="single" w:sz="4" w:space="0" w:color="auto"/>
              <w:right w:val="single" w:sz="4" w:space="0" w:color="auto"/>
            </w:tcBorders>
            <w:shd w:val="clear" w:color="auto" w:fill="auto"/>
            <w:vAlign w:val="center"/>
            <w:hideMark/>
          </w:tcPr>
          <w:p w:rsidR="006E14DF" w:rsidRPr="00D14415" w:rsidRDefault="006E14DF" w:rsidP="007A1A40">
            <w:pPr>
              <w:widowControl/>
              <w:jc w:val="center"/>
              <w:rPr>
                <w:b/>
                <w:bCs/>
                <w:kern w:val="0"/>
                <w:sz w:val="20"/>
                <w:szCs w:val="20"/>
              </w:rPr>
            </w:pPr>
            <w:r w:rsidRPr="00D14415">
              <w:rPr>
                <w:b/>
                <w:bCs/>
                <w:kern w:val="0"/>
                <w:sz w:val="20"/>
                <w:szCs w:val="20"/>
              </w:rPr>
              <w:t>账面净值</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6E14DF" w:rsidRPr="00D14415" w:rsidRDefault="006E14DF" w:rsidP="007A1A40">
            <w:pPr>
              <w:widowControl/>
              <w:jc w:val="center"/>
              <w:rPr>
                <w:b/>
                <w:bCs/>
                <w:kern w:val="0"/>
                <w:sz w:val="20"/>
                <w:szCs w:val="20"/>
              </w:rPr>
            </w:pPr>
            <w:r w:rsidRPr="00D14415">
              <w:rPr>
                <w:b/>
                <w:bCs/>
                <w:kern w:val="0"/>
                <w:sz w:val="20"/>
                <w:szCs w:val="20"/>
              </w:rPr>
              <w:t>评估价值</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6E14DF" w:rsidRPr="00D14415" w:rsidRDefault="006E14DF" w:rsidP="007A1A40">
            <w:pPr>
              <w:widowControl/>
              <w:jc w:val="center"/>
              <w:rPr>
                <w:b/>
                <w:bCs/>
                <w:kern w:val="0"/>
                <w:sz w:val="20"/>
                <w:szCs w:val="20"/>
              </w:rPr>
            </w:pPr>
            <w:r w:rsidRPr="00D14415">
              <w:rPr>
                <w:b/>
                <w:bCs/>
                <w:kern w:val="0"/>
                <w:sz w:val="20"/>
                <w:szCs w:val="20"/>
              </w:rPr>
              <w:t>增减值</w:t>
            </w:r>
          </w:p>
        </w:tc>
        <w:tc>
          <w:tcPr>
            <w:tcW w:w="694" w:type="pct"/>
            <w:tcBorders>
              <w:top w:val="single" w:sz="4" w:space="0" w:color="auto"/>
              <w:left w:val="nil"/>
              <w:bottom w:val="single" w:sz="4" w:space="0" w:color="auto"/>
            </w:tcBorders>
            <w:shd w:val="clear" w:color="auto" w:fill="auto"/>
            <w:vAlign w:val="center"/>
            <w:hideMark/>
          </w:tcPr>
          <w:p w:rsidR="006E14DF" w:rsidRPr="00D14415" w:rsidRDefault="006E14DF" w:rsidP="007A1A40">
            <w:pPr>
              <w:widowControl/>
              <w:jc w:val="center"/>
              <w:rPr>
                <w:b/>
                <w:bCs/>
                <w:kern w:val="0"/>
                <w:sz w:val="20"/>
                <w:szCs w:val="20"/>
              </w:rPr>
            </w:pPr>
            <w:r w:rsidRPr="00D14415">
              <w:rPr>
                <w:b/>
                <w:bCs/>
                <w:kern w:val="0"/>
                <w:sz w:val="20"/>
                <w:szCs w:val="20"/>
              </w:rPr>
              <w:t>增值率</w:t>
            </w:r>
            <w:r w:rsidRPr="00D14415">
              <w:rPr>
                <w:b/>
                <w:bCs/>
                <w:kern w:val="0"/>
                <w:sz w:val="20"/>
                <w:szCs w:val="20"/>
              </w:rPr>
              <w:t>%</w:t>
            </w:r>
          </w:p>
        </w:tc>
      </w:tr>
      <w:tr w:rsidR="006E14DF" w:rsidRPr="00D14415" w:rsidTr="007A1A40">
        <w:trPr>
          <w:trHeight w:val="330"/>
          <w:tblHeader/>
          <w:jc w:val="right"/>
        </w:trPr>
        <w:tc>
          <w:tcPr>
            <w:tcW w:w="1555" w:type="pct"/>
            <w:gridSpan w:val="2"/>
            <w:vMerge/>
            <w:tcBorders>
              <w:top w:val="single" w:sz="4" w:space="0" w:color="auto"/>
              <w:bottom w:val="single" w:sz="4" w:space="0" w:color="000000"/>
              <w:right w:val="single" w:sz="4" w:space="0" w:color="000000"/>
            </w:tcBorders>
            <w:vAlign w:val="center"/>
            <w:hideMark/>
          </w:tcPr>
          <w:p w:rsidR="006E14DF" w:rsidRPr="00D14415" w:rsidRDefault="006E14DF" w:rsidP="007A1A40">
            <w:pPr>
              <w:widowControl/>
              <w:jc w:val="left"/>
              <w:rPr>
                <w:b/>
                <w:bCs/>
                <w:kern w:val="0"/>
                <w:sz w:val="20"/>
                <w:szCs w:val="20"/>
              </w:rPr>
            </w:pPr>
          </w:p>
        </w:tc>
        <w:tc>
          <w:tcPr>
            <w:tcW w:w="983" w:type="pct"/>
            <w:tcBorders>
              <w:top w:val="nil"/>
              <w:left w:val="nil"/>
              <w:bottom w:val="single" w:sz="4" w:space="0" w:color="auto"/>
              <w:right w:val="single" w:sz="4" w:space="0" w:color="auto"/>
            </w:tcBorders>
            <w:shd w:val="clear" w:color="auto" w:fill="auto"/>
            <w:vAlign w:val="center"/>
            <w:hideMark/>
          </w:tcPr>
          <w:p w:rsidR="006E14DF" w:rsidRPr="00D14415" w:rsidRDefault="006E14DF" w:rsidP="007A1A40">
            <w:pPr>
              <w:widowControl/>
              <w:jc w:val="center"/>
              <w:rPr>
                <w:b/>
                <w:bCs/>
                <w:kern w:val="0"/>
                <w:sz w:val="20"/>
                <w:szCs w:val="20"/>
              </w:rPr>
            </w:pPr>
            <w:r w:rsidRPr="00D14415">
              <w:rPr>
                <w:b/>
                <w:bCs/>
                <w:kern w:val="0"/>
                <w:sz w:val="20"/>
                <w:szCs w:val="20"/>
              </w:rPr>
              <w:t>A</w:t>
            </w:r>
          </w:p>
        </w:tc>
        <w:tc>
          <w:tcPr>
            <w:tcW w:w="936" w:type="pct"/>
            <w:tcBorders>
              <w:top w:val="nil"/>
              <w:left w:val="nil"/>
              <w:bottom w:val="single" w:sz="4" w:space="0" w:color="auto"/>
              <w:right w:val="single" w:sz="4" w:space="0" w:color="auto"/>
            </w:tcBorders>
            <w:shd w:val="clear" w:color="auto" w:fill="auto"/>
            <w:vAlign w:val="center"/>
            <w:hideMark/>
          </w:tcPr>
          <w:p w:rsidR="006E14DF" w:rsidRPr="00D14415" w:rsidRDefault="006E14DF" w:rsidP="007A1A40">
            <w:pPr>
              <w:widowControl/>
              <w:jc w:val="center"/>
              <w:rPr>
                <w:b/>
                <w:bCs/>
                <w:kern w:val="0"/>
                <w:sz w:val="20"/>
                <w:szCs w:val="20"/>
              </w:rPr>
            </w:pPr>
            <w:r w:rsidRPr="00D14415">
              <w:rPr>
                <w:b/>
                <w:bCs/>
                <w:kern w:val="0"/>
                <w:sz w:val="20"/>
                <w:szCs w:val="20"/>
              </w:rPr>
              <w:t>B</w:t>
            </w:r>
          </w:p>
        </w:tc>
        <w:tc>
          <w:tcPr>
            <w:tcW w:w="832" w:type="pct"/>
            <w:tcBorders>
              <w:top w:val="nil"/>
              <w:left w:val="nil"/>
              <w:bottom w:val="single" w:sz="4" w:space="0" w:color="auto"/>
              <w:right w:val="single" w:sz="4" w:space="0" w:color="auto"/>
            </w:tcBorders>
            <w:shd w:val="clear" w:color="auto" w:fill="auto"/>
            <w:vAlign w:val="center"/>
            <w:hideMark/>
          </w:tcPr>
          <w:p w:rsidR="006E14DF" w:rsidRPr="00D14415" w:rsidRDefault="006E14DF" w:rsidP="007A1A40">
            <w:pPr>
              <w:widowControl/>
              <w:jc w:val="center"/>
              <w:rPr>
                <w:b/>
                <w:bCs/>
                <w:kern w:val="0"/>
                <w:sz w:val="20"/>
                <w:szCs w:val="20"/>
              </w:rPr>
            </w:pPr>
            <w:r w:rsidRPr="00D14415">
              <w:rPr>
                <w:b/>
                <w:bCs/>
                <w:kern w:val="0"/>
                <w:sz w:val="20"/>
                <w:szCs w:val="20"/>
              </w:rPr>
              <w:t>C=B-A</w:t>
            </w:r>
          </w:p>
        </w:tc>
        <w:tc>
          <w:tcPr>
            <w:tcW w:w="694" w:type="pct"/>
            <w:tcBorders>
              <w:top w:val="nil"/>
              <w:left w:val="nil"/>
              <w:bottom w:val="single" w:sz="4" w:space="0" w:color="auto"/>
            </w:tcBorders>
            <w:shd w:val="clear" w:color="auto" w:fill="auto"/>
            <w:vAlign w:val="center"/>
            <w:hideMark/>
          </w:tcPr>
          <w:p w:rsidR="006E14DF" w:rsidRPr="00D14415" w:rsidRDefault="006E14DF" w:rsidP="007A1A40">
            <w:pPr>
              <w:widowControl/>
              <w:jc w:val="center"/>
              <w:rPr>
                <w:b/>
                <w:bCs/>
                <w:kern w:val="0"/>
                <w:sz w:val="20"/>
                <w:szCs w:val="20"/>
              </w:rPr>
            </w:pPr>
            <w:r w:rsidRPr="00D14415">
              <w:rPr>
                <w:b/>
                <w:bCs/>
                <w:kern w:val="0"/>
                <w:sz w:val="20"/>
                <w:szCs w:val="20"/>
              </w:rPr>
              <w:t>D=C/A×100</w:t>
            </w:r>
          </w:p>
        </w:tc>
      </w:tr>
      <w:tr w:rsidR="006E14DF" w:rsidRPr="00D14415" w:rsidTr="007A1A40">
        <w:trPr>
          <w:trHeight w:val="420"/>
          <w:jc w:val="right"/>
        </w:trPr>
        <w:tc>
          <w:tcPr>
            <w:tcW w:w="1326" w:type="pct"/>
            <w:tcBorders>
              <w:top w:val="nil"/>
              <w:bottom w:val="single" w:sz="4" w:space="0" w:color="auto"/>
              <w:right w:val="single" w:sz="4" w:space="0" w:color="auto"/>
            </w:tcBorders>
            <w:shd w:val="clear" w:color="auto" w:fill="auto"/>
            <w:noWrap/>
            <w:vAlign w:val="center"/>
            <w:hideMark/>
          </w:tcPr>
          <w:p w:rsidR="006E14DF" w:rsidRPr="00D14415" w:rsidRDefault="006E14DF" w:rsidP="007A1A40">
            <w:pPr>
              <w:widowControl/>
              <w:jc w:val="left"/>
              <w:rPr>
                <w:kern w:val="0"/>
                <w:sz w:val="20"/>
                <w:szCs w:val="20"/>
              </w:rPr>
            </w:pPr>
            <w:r w:rsidRPr="00D14415">
              <w:rPr>
                <w:kern w:val="0"/>
                <w:sz w:val="20"/>
                <w:szCs w:val="20"/>
              </w:rPr>
              <w:t>流动资产</w:t>
            </w:r>
          </w:p>
        </w:tc>
        <w:tc>
          <w:tcPr>
            <w:tcW w:w="229" w:type="pct"/>
            <w:tcBorders>
              <w:top w:val="nil"/>
              <w:left w:val="nil"/>
              <w:bottom w:val="single" w:sz="4" w:space="0" w:color="auto"/>
              <w:right w:val="single" w:sz="4" w:space="0" w:color="auto"/>
            </w:tcBorders>
            <w:shd w:val="clear" w:color="auto" w:fill="auto"/>
            <w:noWrap/>
            <w:vAlign w:val="center"/>
            <w:hideMark/>
          </w:tcPr>
          <w:p w:rsidR="006E14DF" w:rsidRPr="00D14415" w:rsidRDefault="006E14DF" w:rsidP="007A1A40">
            <w:pPr>
              <w:widowControl/>
              <w:jc w:val="center"/>
              <w:rPr>
                <w:kern w:val="0"/>
                <w:sz w:val="20"/>
                <w:szCs w:val="20"/>
              </w:rPr>
            </w:pPr>
            <w:r w:rsidRPr="00D14415">
              <w:rPr>
                <w:kern w:val="0"/>
                <w:sz w:val="20"/>
                <w:szCs w:val="20"/>
              </w:rPr>
              <w:t>1</w:t>
            </w:r>
          </w:p>
        </w:tc>
        <w:tc>
          <w:tcPr>
            <w:tcW w:w="983"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widowControl/>
              <w:jc w:val="right"/>
              <w:rPr>
                <w:kern w:val="0"/>
                <w:sz w:val="20"/>
                <w:szCs w:val="20"/>
              </w:rPr>
            </w:pPr>
            <w:r w:rsidRPr="00A71AB9">
              <w:t xml:space="preserve"> 2,017.78 </w:t>
            </w:r>
          </w:p>
        </w:tc>
        <w:tc>
          <w:tcPr>
            <w:tcW w:w="936"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2,082.80 </w:t>
            </w:r>
          </w:p>
        </w:tc>
        <w:tc>
          <w:tcPr>
            <w:tcW w:w="832"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65.02 </w:t>
            </w:r>
          </w:p>
        </w:tc>
        <w:tc>
          <w:tcPr>
            <w:tcW w:w="694" w:type="pct"/>
            <w:tcBorders>
              <w:top w:val="nil"/>
              <w:left w:val="nil"/>
              <w:bottom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3.22 </w:t>
            </w:r>
          </w:p>
        </w:tc>
      </w:tr>
      <w:tr w:rsidR="006E14DF" w:rsidRPr="00D14415" w:rsidTr="007A1A40">
        <w:trPr>
          <w:trHeight w:val="420"/>
          <w:jc w:val="right"/>
        </w:trPr>
        <w:tc>
          <w:tcPr>
            <w:tcW w:w="1326" w:type="pct"/>
            <w:tcBorders>
              <w:top w:val="nil"/>
              <w:bottom w:val="single" w:sz="4" w:space="0" w:color="auto"/>
              <w:right w:val="single" w:sz="4" w:space="0" w:color="auto"/>
            </w:tcBorders>
            <w:shd w:val="clear" w:color="auto" w:fill="auto"/>
            <w:noWrap/>
            <w:vAlign w:val="center"/>
            <w:hideMark/>
          </w:tcPr>
          <w:p w:rsidR="006E14DF" w:rsidRPr="00D14415" w:rsidRDefault="006E14DF" w:rsidP="007A1A40">
            <w:pPr>
              <w:widowControl/>
              <w:jc w:val="left"/>
              <w:rPr>
                <w:kern w:val="0"/>
                <w:sz w:val="20"/>
                <w:szCs w:val="20"/>
              </w:rPr>
            </w:pPr>
            <w:r w:rsidRPr="00D14415">
              <w:rPr>
                <w:kern w:val="0"/>
                <w:sz w:val="20"/>
                <w:szCs w:val="20"/>
              </w:rPr>
              <w:t>非流动资产</w:t>
            </w:r>
          </w:p>
        </w:tc>
        <w:tc>
          <w:tcPr>
            <w:tcW w:w="229" w:type="pct"/>
            <w:tcBorders>
              <w:top w:val="nil"/>
              <w:left w:val="nil"/>
              <w:bottom w:val="single" w:sz="4" w:space="0" w:color="auto"/>
              <w:right w:val="single" w:sz="4" w:space="0" w:color="auto"/>
            </w:tcBorders>
            <w:shd w:val="clear" w:color="auto" w:fill="auto"/>
            <w:noWrap/>
            <w:vAlign w:val="center"/>
            <w:hideMark/>
          </w:tcPr>
          <w:p w:rsidR="006E14DF" w:rsidRPr="00D14415" w:rsidRDefault="006E14DF" w:rsidP="007A1A40">
            <w:pPr>
              <w:widowControl/>
              <w:jc w:val="center"/>
              <w:rPr>
                <w:kern w:val="0"/>
                <w:sz w:val="20"/>
                <w:szCs w:val="20"/>
              </w:rPr>
            </w:pPr>
            <w:r w:rsidRPr="00D14415">
              <w:rPr>
                <w:kern w:val="0"/>
                <w:sz w:val="20"/>
                <w:szCs w:val="20"/>
              </w:rPr>
              <w:t>2</w:t>
            </w:r>
          </w:p>
        </w:tc>
        <w:tc>
          <w:tcPr>
            <w:tcW w:w="983"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8,442.18 </w:t>
            </w:r>
          </w:p>
        </w:tc>
        <w:tc>
          <w:tcPr>
            <w:tcW w:w="936"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47,688.32 </w:t>
            </w:r>
          </w:p>
        </w:tc>
        <w:tc>
          <w:tcPr>
            <w:tcW w:w="832"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39,246.14 </w:t>
            </w:r>
          </w:p>
        </w:tc>
        <w:tc>
          <w:tcPr>
            <w:tcW w:w="694" w:type="pct"/>
            <w:tcBorders>
              <w:top w:val="nil"/>
              <w:left w:val="nil"/>
              <w:bottom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464.88 </w:t>
            </w:r>
          </w:p>
        </w:tc>
      </w:tr>
      <w:tr w:rsidR="006E14DF" w:rsidRPr="00D14415" w:rsidTr="007A1A40">
        <w:trPr>
          <w:trHeight w:val="420"/>
          <w:jc w:val="right"/>
        </w:trPr>
        <w:tc>
          <w:tcPr>
            <w:tcW w:w="1326" w:type="pct"/>
            <w:tcBorders>
              <w:top w:val="nil"/>
              <w:bottom w:val="single" w:sz="4" w:space="0" w:color="auto"/>
              <w:right w:val="nil"/>
            </w:tcBorders>
            <w:shd w:val="clear" w:color="auto" w:fill="auto"/>
            <w:noWrap/>
            <w:vAlign w:val="center"/>
            <w:hideMark/>
          </w:tcPr>
          <w:p w:rsidR="006E14DF" w:rsidRPr="00D14415" w:rsidRDefault="006E14DF" w:rsidP="007A1A40">
            <w:pPr>
              <w:widowControl/>
              <w:jc w:val="left"/>
              <w:rPr>
                <w:kern w:val="0"/>
                <w:sz w:val="20"/>
                <w:szCs w:val="20"/>
              </w:rPr>
            </w:pPr>
            <w:r w:rsidRPr="00D14415">
              <w:rPr>
                <w:kern w:val="0"/>
                <w:sz w:val="20"/>
                <w:szCs w:val="20"/>
              </w:rPr>
              <w:t>其中：长期股权投资</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E14DF" w:rsidRPr="00D14415" w:rsidRDefault="006E14DF" w:rsidP="007A1A40">
            <w:pPr>
              <w:widowControl/>
              <w:jc w:val="center"/>
              <w:rPr>
                <w:kern w:val="0"/>
                <w:sz w:val="20"/>
                <w:szCs w:val="20"/>
              </w:rPr>
            </w:pPr>
            <w:r w:rsidRPr="00D14415">
              <w:rPr>
                <w:kern w:val="0"/>
                <w:sz w:val="20"/>
                <w:szCs w:val="20"/>
              </w:rPr>
              <w:t>3</w:t>
            </w:r>
          </w:p>
        </w:tc>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4DF" w:rsidRPr="0022660A" w:rsidRDefault="006E14DF" w:rsidP="007A1A40">
            <w:pPr>
              <w:jc w:val="right"/>
              <w:rPr>
                <w:color w:val="FFFFFF"/>
                <w:sz w:val="20"/>
                <w:szCs w:val="20"/>
              </w:rPr>
            </w:pPr>
            <w:r w:rsidRPr="00A71AB9">
              <w:t xml:space="preserve"> -   </w:t>
            </w:r>
          </w:p>
        </w:tc>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4DF" w:rsidRPr="0022660A" w:rsidRDefault="006E14DF" w:rsidP="007A1A40">
            <w:pPr>
              <w:jc w:val="right"/>
              <w:rPr>
                <w:color w:val="FFFFFF"/>
                <w:sz w:val="20"/>
                <w:szCs w:val="20"/>
              </w:rPr>
            </w:pPr>
            <w:r w:rsidRPr="00A71AB9">
              <w:t xml:space="preserve"> -   </w:t>
            </w:r>
          </w:p>
        </w:tc>
        <w:tc>
          <w:tcPr>
            <w:tcW w:w="832"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w:t>
            </w:r>
          </w:p>
        </w:tc>
        <w:tc>
          <w:tcPr>
            <w:tcW w:w="694" w:type="pct"/>
            <w:tcBorders>
              <w:top w:val="nil"/>
              <w:left w:val="nil"/>
              <w:bottom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w:t>
            </w:r>
          </w:p>
        </w:tc>
      </w:tr>
      <w:tr w:rsidR="006E14DF" w:rsidRPr="00D14415" w:rsidTr="007A1A40">
        <w:trPr>
          <w:trHeight w:val="420"/>
          <w:jc w:val="right"/>
        </w:trPr>
        <w:tc>
          <w:tcPr>
            <w:tcW w:w="1326" w:type="pct"/>
            <w:tcBorders>
              <w:top w:val="nil"/>
              <w:bottom w:val="single" w:sz="4" w:space="0" w:color="auto"/>
              <w:right w:val="nil"/>
            </w:tcBorders>
            <w:shd w:val="clear" w:color="auto" w:fill="auto"/>
            <w:noWrap/>
            <w:vAlign w:val="center"/>
            <w:hideMark/>
          </w:tcPr>
          <w:p w:rsidR="006E14DF" w:rsidRPr="00D14415" w:rsidRDefault="006E14DF" w:rsidP="007A1A40">
            <w:pPr>
              <w:widowControl/>
              <w:jc w:val="left"/>
              <w:rPr>
                <w:kern w:val="0"/>
                <w:sz w:val="20"/>
                <w:szCs w:val="20"/>
              </w:rPr>
            </w:pPr>
            <w:r w:rsidRPr="00D14415">
              <w:rPr>
                <w:kern w:val="0"/>
                <w:sz w:val="20"/>
                <w:szCs w:val="20"/>
              </w:rPr>
              <w:t xml:space="preserve">　　　投资性房地产</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E14DF" w:rsidRPr="00D14415" w:rsidRDefault="006E14DF" w:rsidP="007A1A40">
            <w:pPr>
              <w:widowControl/>
              <w:jc w:val="center"/>
              <w:rPr>
                <w:kern w:val="0"/>
                <w:sz w:val="20"/>
                <w:szCs w:val="20"/>
              </w:rPr>
            </w:pPr>
            <w:r w:rsidRPr="00D14415">
              <w:rPr>
                <w:kern w:val="0"/>
                <w:sz w:val="20"/>
                <w:szCs w:val="20"/>
              </w:rPr>
              <w:t>4</w:t>
            </w:r>
          </w:p>
        </w:tc>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4DF" w:rsidRPr="0022660A" w:rsidRDefault="006E14DF" w:rsidP="007A1A40">
            <w:pPr>
              <w:jc w:val="right"/>
              <w:rPr>
                <w:color w:val="FFFFFF"/>
                <w:sz w:val="20"/>
                <w:szCs w:val="20"/>
              </w:rPr>
            </w:pPr>
            <w:r w:rsidRPr="00A71AB9">
              <w:t xml:space="preserve"> -   </w:t>
            </w:r>
          </w:p>
        </w:tc>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4DF" w:rsidRPr="0022660A" w:rsidRDefault="006E14DF" w:rsidP="007A1A40">
            <w:pPr>
              <w:jc w:val="right"/>
              <w:rPr>
                <w:color w:val="FFFFFF"/>
                <w:sz w:val="20"/>
                <w:szCs w:val="20"/>
              </w:rPr>
            </w:pPr>
            <w:r w:rsidRPr="00A71AB9">
              <w:t xml:space="preserve"> -   </w:t>
            </w:r>
          </w:p>
        </w:tc>
        <w:tc>
          <w:tcPr>
            <w:tcW w:w="832"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w:t>
            </w:r>
          </w:p>
        </w:tc>
        <w:tc>
          <w:tcPr>
            <w:tcW w:w="694" w:type="pct"/>
            <w:tcBorders>
              <w:top w:val="nil"/>
              <w:left w:val="nil"/>
              <w:bottom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w:t>
            </w:r>
          </w:p>
        </w:tc>
      </w:tr>
      <w:tr w:rsidR="006E14DF" w:rsidRPr="00D14415" w:rsidTr="007A1A40">
        <w:trPr>
          <w:trHeight w:val="420"/>
          <w:jc w:val="right"/>
        </w:trPr>
        <w:tc>
          <w:tcPr>
            <w:tcW w:w="1326" w:type="pct"/>
            <w:tcBorders>
              <w:top w:val="nil"/>
              <w:bottom w:val="single" w:sz="4" w:space="0" w:color="auto"/>
              <w:right w:val="nil"/>
            </w:tcBorders>
            <w:shd w:val="clear" w:color="auto" w:fill="auto"/>
            <w:noWrap/>
            <w:vAlign w:val="center"/>
            <w:hideMark/>
          </w:tcPr>
          <w:p w:rsidR="006E14DF" w:rsidRPr="00D14415" w:rsidRDefault="006E14DF" w:rsidP="007A1A40">
            <w:pPr>
              <w:widowControl/>
              <w:jc w:val="left"/>
              <w:rPr>
                <w:kern w:val="0"/>
                <w:sz w:val="20"/>
                <w:szCs w:val="20"/>
              </w:rPr>
            </w:pPr>
            <w:r w:rsidRPr="00D14415">
              <w:rPr>
                <w:kern w:val="0"/>
                <w:sz w:val="20"/>
                <w:szCs w:val="20"/>
              </w:rPr>
              <w:t xml:space="preserve">　　　固定资产</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E14DF" w:rsidRPr="00D14415" w:rsidRDefault="006E14DF" w:rsidP="007A1A40">
            <w:pPr>
              <w:widowControl/>
              <w:jc w:val="center"/>
              <w:rPr>
                <w:kern w:val="0"/>
                <w:sz w:val="20"/>
                <w:szCs w:val="20"/>
              </w:rPr>
            </w:pPr>
            <w:r w:rsidRPr="00D14415">
              <w:rPr>
                <w:kern w:val="0"/>
                <w:sz w:val="20"/>
                <w:szCs w:val="20"/>
              </w:rPr>
              <w:t>5</w:t>
            </w:r>
          </w:p>
        </w:tc>
        <w:tc>
          <w:tcPr>
            <w:tcW w:w="983"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1,479.69 </w:t>
            </w:r>
          </w:p>
        </w:tc>
        <w:tc>
          <w:tcPr>
            <w:tcW w:w="936"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5,870.23 </w:t>
            </w:r>
          </w:p>
        </w:tc>
        <w:tc>
          <w:tcPr>
            <w:tcW w:w="832"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4,390.54 </w:t>
            </w:r>
          </w:p>
        </w:tc>
        <w:tc>
          <w:tcPr>
            <w:tcW w:w="694" w:type="pct"/>
            <w:tcBorders>
              <w:top w:val="nil"/>
              <w:left w:val="nil"/>
              <w:bottom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296.72 </w:t>
            </w:r>
          </w:p>
        </w:tc>
      </w:tr>
      <w:tr w:rsidR="006E14DF" w:rsidRPr="00D14415" w:rsidTr="007A1A40">
        <w:trPr>
          <w:trHeight w:val="420"/>
          <w:jc w:val="right"/>
        </w:trPr>
        <w:tc>
          <w:tcPr>
            <w:tcW w:w="1326" w:type="pct"/>
            <w:tcBorders>
              <w:top w:val="nil"/>
              <w:bottom w:val="single" w:sz="4" w:space="0" w:color="auto"/>
              <w:right w:val="nil"/>
            </w:tcBorders>
            <w:shd w:val="clear" w:color="auto" w:fill="auto"/>
            <w:noWrap/>
            <w:vAlign w:val="center"/>
            <w:hideMark/>
          </w:tcPr>
          <w:p w:rsidR="006E14DF" w:rsidRPr="00D14415" w:rsidRDefault="006E14DF" w:rsidP="007A1A40">
            <w:pPr>
              <w:widowControl/>
              <w:jc w:val="left"/>
              <w:rPr>
                <w:kern w:val="0"/>
                <w:sz w:val="20"/>
                <w:szCs w:val="20"/>
              </w:rPr>
            </w:pPr>
            <w:r w:rsidRPr="00D14415">
              <w:rPr>
                <w:kern w:val="0"/>
                <w:sz w:val="20"/>
                <w:szCs w:val="20"/>
              </w:rPr>
              <w:t xml:space="preserve">　　　在建工程</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E14DF" w:rsidRPr="00D14415" w:rsidRDefault="006E14DF" w:rsidP="007A1A40">
            <w:pPr>
              <w:widowControl/>
              <w:jc w:val="center"/>
              <w:rPr>
                <w:kern w:val="0"/>
                <w:sz w:val="20"/>
                <w:szCs w:val="20"/>
              </w:rPr>
            </w:pPr>
            <w:r w:rsidRPr="00D14415">
              <w:rPr>
                <w:kern w:val="0"/>
                <w:sz w:val="20"/>
                <w:szCs w:val="20"/>
              </w:rPr>
              <w:t>6</w:t>
            </w:r>
          </w:p>
        </w:tc>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4DF" w:rsidRPr="0022660A" w:rsidRDefault="006E14DF" w:rsidP="007A1A40">
            <w:pPr>
              <w:jc w:val="right"/>
              <w:rPr>
                <w:color w:val="FFFFFF"/>
                <w:sz w:val="20"/>
                <w:szCs w:val="20"/>
              </w:rPr>
            </w:pPr>
            <w:r w:rsidRPr="00A71AB9">
              <w:t xml:space="preserve"> 445.86 </w:t>
            </w:r>
          </w:p>
        </w:tc>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4DF" w:rsidRPr="0022660A" w:rsidRDefault="006E14DF" w:rsidP="007A1A40">
            <w:pPr>
              <w:jc w:val="right"/>
              <w:rPr>
                <w:color w:val="FFFFFF"/>
                <w:sz w:val="20"/>
                <w:szCs w:val="20"/>
              </w:rPr>
            </w:pPr>
            <w:r w:rsidRPr="00A71AB9">
              <w:t xml:space="preserve"> 419.77 </w:t>
            </w:r>
          </w:p>
        </w:tc>
        <w:tc>
          <w:tcPr>
            <w:tcW w:w="832"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-26.09 </w:t>
            </w:r>
          </w:p>
        </w:tc>
        <w:tc>
          <w:tcPr>
            <w:tcW w:w="694" w:type="pct"/>
            <w:tcBorders>
              <w:top w:val="nil"/>
              <w:left w:val="nil"/>
              <w:bottom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-5.85 </w:t>
            </w:r>
          </w:p>
        </w:tc>
      </w:tr>
      <w:tr w:rsidR="006E14DF" w:rsidRPr="00D14415" w:rsidTr="007A1A40">
        <w:trPr>
          <w:trHeight w:val="420"/>
          <w:jc w:val="right"/>
        </w:trPr>
        <w:tc>
          <w:tcPr>
            <w:tcW w:w="1326" w:type="pct"/>
            <w:tcBorders>
              <w:top w:val="nil"/>
              <w:bottom w:val="single" w:sz="4" w:space="0" w:color="auto"/>
              <w:right w:val="nil"/>
            </w:tcBorders>
            <w:shd w:val="clear" w:color="auto" w:fill="auto"/>
            <w:noWrap/>
            <w:vAlign w:val="center"/>
            <w:hideMark/>
          </w:tcPr>
          <w:p w:rsidR="006E14DF" w:rsidRPr="00D14415" w:rsidRDefault="006E14DF" w:rsidP="007A1A40">
            <w:pPr>
              <w:widowControl/>
              <w:jc w:val="left"/>
              <w:rPr>
                <w:kern w:val="0"/>
                <w:sz w:val="20"/>
                <w:szCs w:val="20"/>
              </w:rPr>
            </w:pPr>
            <w:r w:rsidRPr="00D14415">
              <w:rPr>
                <w:kern w:val="0"/>
                <w:sz w:val="20"/>
                <w:szCs w:val="20"/>
              </w:rPr>
              <w:t xml:space="preserve">　　　无形资产</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E14DF" w:rsidRPr="00D14415" w:rsidRDefault="006E14DF" w:rsidP="007A1A40">
            <w:pPr>
              <w:widowControl/>
              <w:jc w:val="center"/>
              <w:rPr>
                <w:kern w:val="0"/>
                <w:sz w:val="20"/>
                <w:szCs w:val="20"/>
              </w:rPr>
            </w:pPr>
            <w:r w:rsidRPr="00D14415">
              <w:rPr>
                <w:kern w:val="0"/>
                <w:sz w:val="20"/>
                <w:szCs w:val="20"/>
              </w:rPr>
              <w:t>7</w:t>
            </w:r>
          </w:p>
        </w:tc>
        <w:tc>
          <w:tcPr>
            <w:tcW w:w="983"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5,174.61 </w:t>
            </w:r>
          </w:p>
        </w:tc>
        <w:tc>
          <w:tcPr>
            <w:tcW w:w="936"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40,072.57 </w:t>
            </w:r>
          </w:p>
        </w:tc>
        <w:tc>
          <w:tcPr>
            <w:tcW w:w="832"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34,897.96 </w:t>
            </w:r>
          </w:p>
        </w:tc>
        <w:tc>
          <w:tcPr>
            <w:tcW w:w="694" w:type="pct"/>
            <w:tcBorders>
              <w:top w:val="nil"/>
              <w:left w:val="nil"/>
              <w:bottom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674.41 </w:t>
            </w:r>
          </w:p>
        </w:tc>
      </w:tr>
      <w:tr w:rsidR="006E14DF" w:rsidRPr="00D14415" w:rsidTr="007A1A40">
        <w:trPr>
          <w:trHeight w:val="420"/>
          <w:jc w:val="right"/>
        </w:trPr>
        <w:tc>
          <w:tcPr>
            <w:tcW w:w="1326" w:type="pct"/>
            <w:tcBorders>
              <w:top w:val="nil"/>
              <w:bottom w:val="single" w:sz="4" w:space="0" w:color="auto"/>
              <w:right w:val="nil"/>
            </w:tcBorders>
            <w:shd w:val="clear" w:color="auto" w:fill="auto"/>
            <w:noWrap/>
            <w:vAlign w:val="center"/>
            <w:hideMark/>
          </w:tcPr>
          <w:p w:rsidR="006E14DF" w:rsidRPr="00D14415" w:rsidRDefault="006E14DF" w:rsidP="007A1A40">
            <w:pPr>
              <w:widowControl/>
              <w:jc w:val="left"/>
              <w:rPr>
                <w:kern w:val="0"/>
                <w:sz w:val="20"/>
                <w:szCs w:val="20"/>
              </w:rPr>
            </w:pPr>
            <w:r w:rsidRPr="00D14415">
              <w:rPr>
                <w:kern w:val="0"/>
                <w:sz w:val="20"/>
                <w:szCs w:val="20"/>
              </w:rPr>
              <w:t xml:space="preserve">　　　其中：土地使用权</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E14DF" w:rsidRPr="00D14415" w:rsidRDefault="006E14DF" w:rsidP="007A1A40">
            <w:pPr>
              <w:widowControl/>
              <w:jc w:val="center"/>
              <w:rPr>
                <w:kern w:val="0"/>
                <w:sz w:val="20"/>
                <w:szCs w:val="20"/>
              </w:rPr>
            </w:pPr>
            <w:r w:rsidRPr="00D14415">
              <w:rPr>
                <w:kern w:val="0"/>
                <w:sz w:val="20"/>
                <w:szCs w:val="20"/>
              </w:rPr>
              <w:t>8</w:t>
            </w:r>
          </w:p>
        </w:tc>
        <w:tc>
          <w:tcPr>
            <w:tcW w:w="983"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   </w:t>
            </w:r>
          </w:p>
        </w:tc>
        <w:tc>
          <w:tcPr>
            <w:tcW w:w="936"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   </w:t>
            </w:r>
          </w:p>
        </w:tc>
        <w:tc>
          <w:tcPr>
            <w:tcW w:w="832"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w:t>
            </w:r>
          </w:p>
        </w:tc>
        <w:tc>
          <w:tcPr>
            <w:tcW w:w="694" w:type="pct"/>
            <w:tcBorders>
              <w:top w:val="nil"/>
              <w:left w:val="nil"/>
              <w:bottom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w:t>
            </w:r>
          </w:p>
        </w:tc>
      </w:tr>
      <w:tr w:rsidR="006E14DF" w:rsidRPr="00D14415" w:rsidTr="007A1A40">
        <w:trPr>
          <w:trHeight w:val="420"/>
          <w:jc w:val="right"/>
        </w:trPr>
        <w:tc>
          <w:tcPr>
            <w:tcW w:w="1326" w:type="pct"/>
            <w:tcBorders>
              <w:top w:val="nil"/>
              <w:bottom w:val="single" w:sz="4" w:space="0" w:color="auto"/>
              <w:right w:val="nil"/>
            </w:tcBorders>
            <w:shd w:val="clear" w:color="auto" w:fill="auto"/>
            <w:noWrap/>
            <w:vAlign w:val="center"/>
            <w:hideMark/>
          </w:tcPr>
          <w:p w:rsidR="006E14DF" w:rsidRPr="00D14415" w:rsidRDefault="006E14DF" w:rsidP="007A1A40">
            <w:pPr>
              <w:widowControl/>
              <w:jc w:val="left"/>
              <w:rPr>
                <w:kern w:val="0"/>
                <w:sz w:val="20"/>
                <w:szCs w:val="20"/>
              </w:rPr>
            </w:pPr>
            <w:r w:rsidRPr="00D14415">
              <w:rPr>
                <w:kern w:val="0"/>
                <w:sz w:val="20"/>
                <w:szCs w:val="20"/>
              </w:rPr>
              <w:t xml:space="preserve">　　　其他非流动资产</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E14DF" w:rsidRPr="00D14415" w:rsidRDefault="006E14DF" w:rsidP="007A1A40">
            <w:pPr>
              <w:widowControl/>
              <w:jc w:val="center"/>
              <w:rPr>
                <w:kern w:val="0"/>
                <w:sz w:val="20"/>
                <w:szCs w:val="20"/>
              </w:rPr>
            </w:pPr>
            <w:r w:rsidRPr="00D14415">
              <w:rPr>
                <w:kern w:val="0"/>
                <w:sz w:val="20"/>
                <w:szCs w:val="20"/>
              </w:rPr>
              <w:t>9</w:t>
            </w:r>
          </w:p>
        </w:tc>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4DF" w:rsidRPr="0022660A" w:rsidRDefault="006E14DF" w:rsidP="007A1A40">
            <w:pPr>
              <w:jc w:val="right"/>
              <w:rPr>
                <w:color w:val="FFFFFF"/>
                <w:sz w:val="20"/>
                <w:szCs w:val="20"/>
              </w:rPr>
            </w:pPr>
            <w:r w:rsidRPr="00A71AB9">
              <w:t xml:space="preserve"> 1,342.02 </w:t>
            </w:r>
          </w:p>
        </w:tc>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4DF" w:rsidRPr="0022660A" w:rsidRDefault="006E14DF" w:rsidP="007A1A40">
            <w:pPr>
              <w:jc w:val="right"/>
              <w:rPr>
                <w:color w:val="FFFFFF"/>
                <w:sz w:val="20"/>
                <w:szCs w:val="20"/>
              </w:rPr>
            </w:pPr>
            <w:r w:rsidRPr="00A71AB9">
              <w:t xml:space="preserve"> 1,325.75 </w:t>
            </w:r>
          </w:p>
        </w:tc>
        <w:tc>
          <w:tcPr>
            <w:tcW w:w="832"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-16.27 </w:t>
            </w:r>
          </w:p>
        </w:tc>
        <w:tc>
          <w:tcPr>
            <w:tcW w:w="694" w:type="pct"/>
            <w:tcBorders>
              <w:top w:val="nil"/>
              <w:left w:val="nil"/>
              <w:bottom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-1.21 </w:t>
            </w:r>
          </w:p>
        </w:tc>
      </w:tr>
      <w:tr w:rsidR="006E14DF" w:rsidRPr="00D14415" w:rsidTr="007A1A40">
        <w:trPr>
          <w:trHeight w:val="420"/>
          <w:jc w:val="right"/>
        </w:trPr>
        <w:tc>
          <w:tcPr>
            <w:tcW w:w="1326" w:type="pct"/>
            <w:tcBorders>
              <w:top w:val="nil"/>
              <w:bottom w:val="single" w:sz="4" w:space="0" w:color="auto"/>
              <w:right w:val="nil"/>
            </w:tcBorders>
            <w:shd w:val="clear" w:color="auto" w:fill="auto"/>
            <w:noWrap/>
            <w:vAlign w:val="center"/>
            <w:hideMark/>
          </w:tcPr>
          <w:p w:rsidR="006E14DF" w:rsidRPr="00D14415" w:rsidRDefault="006E14DF" w:rsidP="007A1A40">
            <w:pPr>
              <w:widowControl/>
              <w:jc w:val="center"/>
              <w:rPr>
                <w:b/>
                <w:bCs/>
                <w:kern w:val="0"/>
                <w:sz w:val="20"/>
                <w:szCs w:val="20"/>
              </w:rPr>
            </w:pPr>
            <w:r w:rsidRPr="00D14415">
              <w:rPr>
                <w:b/>
                <w:bCs/>
                <w:kern w:val="0"/>
                <w:sz w:val="20"/>
                <w:szCs w:val="20"/>
              </w:rPr>
              <w:lastRenderedPageBreak/>
              <w:t>资产总计</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E14DF" w:rsidRPr="00D14415" w:rsidRDefault="006E14DF" w:rsidP="007A1A40">
            <w:pPr>
              <w:widowControl/>
              <w:jc w:val="center"/>
              <w:rPr>
                <w:b/>
                <w:bCs/>
                <w:kern w:val="0"/>
                <w:sz w:val="18"/>
                <w:szCs w:val="18"/>
              </w:rPr>
            </w:pPr>
            <w:r w:rsidRPr="00D14415">
              <w:rPr>
                <w:b/>
                <w:bCs/>
                <w:kern w:val="0"/>
                <w:sz w:val="18"/>
                <w:szCs w:val="18"/>
              </w:rPr>
              <w:t>10</w:t>
            </w:r>
          </w:p>
        </w:tc>
        <w:tc>
          <w:tcPr>
            <w:tcW w:w="983"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b/>
                <w:bCs/>
                <w:sz w:val="20"/>
                <w:szCs w:val="20"/>
              </w:rPr>
            </w:pPr>
            <w:r w:rsidRPr="001D1A79">
              <w:rPr>
                <w:b/>
                <w:bCs/>
              </w:rPr>
              <w:t xml:space="preserve"> 10,459.95 </w:t>
            </w:r>
          </w:p>
        </w:tc>
        <w:tc>
          <w:tcPr>
            <w:tcW w:w="936"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b/>
                <w:bCs/>
                <w:sz w:val="20"/>
                <w:szCs w:val="20"/>
              </w:rPr>
            </w:pPr>
            <w:r w:rsidRPr="001D1A79">
              <w:rPr>
                <w:b/>
                <w:bCs/>
              </w:rPr>
              <w:t xml:space="preserve"> 49,771.12 </w:t>
            </w:r>
          </w:p>
        </w:tc>
        <w:tc>
          <w:tcPr>
            <w:tcW w:w="832"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b/>
                <w:bCs/>
                <w:sz w:val="20"/>
                <w:szCs w:val="20"/>
              </w:rPr>
            </w:pPr>
            <w:r w:rsidRPr="001D1A79">
              <w:rPr>
                <w:b/>
                <w:bCs/>
              </w:rPr>
              <w:t xml:space="preserve"> 39,311.17 </w:t>
            </w:r>
          </w:p>
        </w:tc>
        <w:tc>
          <w:tcPr>
            <w:tcW w:w="694" w:type="pct"/>
            <w:tcBorders>
              <w:top w:val="nil"/>
              <w:left w:val="nil"/>
              <w:bottom w:val="single" w:sz="4" w:space="0" w:color="auto"/>
            </w:tcBorders>
            <w:shd w:val="clear" w:color="auto" w:fill="auto"/>
            <w:noWrap/>
            <w:vAlign w:val="center"/>
          </w:tcPr>
          <w:p w:rsidR="006E14DF" w:rsidRPr="0022660A" w:rsidRDefault="006E14DF" w:rsidP="007A1A40">
            <w:pPr>
              <w:jc w:val="right"/>
              <w:rPr>
                <w:b/>
                <w:bCs/>
                <w:sz w:val="20"/>
                <w:szCs w:val="20"/>
              </w:rPr>
            </w:pPr>
            <w:r w:rsidRPr="001D1A79">
              <w:rPr>
                <w:b/>
                <w:bCs/>
              </w:rPr>
              <w:t xml:space="preserve"> 375.83 </w:t>
            </w:r>
          </w:p>
        </w:tc>
      </w:tr>
      <w:tr w:rsidR="006E14DF" w:rsidRPr="00D14415" w:rsidTr="007A1A40">
        <w:trPr>
          <w:trHeight w:val="420"/>
          <w:jc w:val="right"/>
        </w:trPr>
        <w:tc>
          <w:tcPr>
            <w:tcW w:w="1326" w:type="pct"/>
            <w:tcBorders>
              <w:top w:val="nil"/>
              <w:bottom w:val="single" w:sz="4" w:space="0" w:color="auto"/>
              <w:right w:val="nil"/>
            </w:tcBorders>
            <w:shd w:val="clear" w:color="auto" w:fill="auto"/>
            <w:noWrap/>
            <w:vAlign w:val="center"/>
            <w:hideMark/>
          </w:tcPr>
          <w:p w:rsidR="006E14DF" w:rsidRPr="00D14415" w:rsidRDefault="006E14DF" w:rsidP="007A1A40">
            <w:pPr>
              <w:widowControl/>
              <w:jc w:val="left"/>
              <w:rPr>
                <w:kern w:val="0"/>
                <w:sz w:val="20"/>
                <w:szCs w:val="20"/>
              </w:rPr>
            </w:pPr>
            <w:r w:rsidRPr="00D14415">
              <w:rPr>
                <w:kern w:val="0"/>
                <w:sz w:val="20"/>
                <w:szCs w:val="20"/>
              </w:rPr>
              <w:t>流动负债</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E14DF" w:rsidRPr="00D14415" w:rsidRDefault="006E14DF" w:rsidP="007A1A40">
            <w:pPr>
              <w:widowControl/>
              <w:jc w:val="center"/>
              <w:rPr>
                <w:kern w:val="0"/>
                <w:sz w:val="20"/>
                <w:szCs w:val="20"/>
              </w:rPr>
            </w:pPr>
            <w:r w:rsidRPr="00D14415">
              <w:rPr>
                <w:kern w:val="0"/>
                <w:sz w:val="20"/>
                <w:szCs w:val="20"/>
              </w:rPr>
              <w:t>11</w:t>
            </w:r>
          </w:p>
        </w:tc>
        <w:tc>
          <w:tcPr>
            <w:tcW w:w="983"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2,188.73 </w:t>
            </w:r>
          </w:p>
        </w:tc>
        <w:tc>
          <w:tcPr>
            <w:tcW w:w="936"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2,188.73 </w:t>
            </w:r>
          </w:p>
        </w:tc>
        <w:tc>
          <w:tcPr>
            <w:tcW w:w="832"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   </w:t>
            </w:r>
          </w:p>
        </w:tc>
        <w:tc>
          <w:tcPr>
            <w:tcW w:w="694" w:type="pct"/>
            <w:tcBorders>
              <w:top w:val="nil"/>
              <w:left w:val="nil"/>
              <w:bottom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   </w:t>
            </w:r>
          </w:p>
        </w:tc>
      </w:tr>
      <w:tr w:rsidR="006E14DF" w:rsidRPr="00D14415" w:rsidTr="007A1A40">
        <w:trPr>
          <w:trHeight w:val="420"/>
          <w:jc w:val="right"/>
        </w:trPr>
        <w:tc>
          <w:tcPr>
            <w:tcW w:w="1326" w:type="pct"/>
            <w:tcBorders>
              <w:top w:val="nil"/>
              <w:bottom w:val="single" w:sz="4" w:space="0" w:color="auto"/>
              <w:right w:val="nil"/>
            </w:tcBorders>
            <w:shd w:val="clear" w:color="auto" w:fill="auto"/>
            <w:noWrap/>
            <w:vAlign w:val="center"/>
            <w:hideMark/>
          </w:tcPr>
          <w:p w:rsidR="006E14DF" w:rsidRPr="00D14415" w:rsidRDefault="006E14DF" w:rsidP="007A1A40">
            <w:pPr>
              <w:widowControl/>
              <w:jc w:val="left"/>
              <w:rPr>
                <w:kern w:val="0"/>
                <w:sz w:val="20"/>
                <w:szCs w:val="20"/>
              </w:rPr>
            </w:pPr>
            <w:r w:rsidRPr="00D14415">
              <w:rPr>
                <w:kern w:val="0"/>
                <w:sz w:val="20"/>
                <w:szCs w:val="20"/>
              </w:rPr>
              <w:t>非流动负债</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E14DF" w:rsidRPr="00D14415" w:rsidRDefault="006E14DF" w:rsidP="007A1A40">
            <w:pPr>
              <w:widowControl/>
              <w:jc w:val="center"/>
              <w:rPr>
                <w:kern w:val="0"/>
                <w:sz w:val="20"/>
                <w:szCs w:val="20"/>
              </w:rPr>
            </w:pPr>
            <w:r w:rsidRPr="00D14415">
              <w:rPr>
                <w:kern w:val="0"/>
                <w:sz w:val="20"/>
                <w:szCs w:val="20"/>
              </w:rPr>
              <w:t>12</w:t>
            </w:r>
          </w:p>
        </w:tc>
        <w:tc>
          <w:tcPr>
            <w:tcW w:w="9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4DF" w:rsidRPr="0022660A" w:rsidRDefault="006E14DF" w:rsidP="007A1A40">
            <w:pPr>
              <w:jc w:val="right"/>
              <w:rPr>
                <w:color w:val="FFFFFF"/>
                <w:sz w:val="20"/>
                <w:szCs w:val="20"/>
              </w:rPr>
            </w:pPr>
            <w:r w:rsidRPr="00A71AB9">
              <w:t xml:space="preserve"> -   </w:t>
            </w:r>
          </w:p>
        </w:tc>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4DF" w:rsidRPr="0022660A" w:rsidRDefault="006E14DF" w:rsidP="007A1A40">
            <w:pPr>
              <w:jc w:val="right"/>
              <w:rPr>
                <w:color w:val="FFFFFF"/>
                <w:sz w:val="20"/>
                <w:szCs w:val="20"/>
              </w:rPr>
            </w:pPr>
            <w:r w:rsidRPr="00A71AB9">
              <w:t xml:space="preserve"> -   </w:t>
            </w:r>
          </w:p>
        </w:tc>
        <w:tc>
          <w:tcPr>
            <w:tcW w:w="832"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w:t>
            </w:r>
          </w:p>
        </w:tc>
        <w:tc>
          <w:tcPr>
            <w:tcW w:w="694" w:type="pct"/>
            <w:tcBorders>
              <w:top w:val="nil"/>
              <w:left w:val="nil"/>
              <w:bottom w:val="single" w:sz="4" w:space="0" w:color="auto"/>
            </w:tcBorders>
            <w:shd w:val="clear" w:color="auto" w:fill="auto"/>
            <w:noWrap/>
            <w:vAlign w:val="center"/>
          </w:tcPr>
          <w:p w:rsidR="006E14DF" w:rsidRPr="0022660A" w:rsidRDefault="006E14DF" w:rsidP="007A1A40">
            <w:pPr>
              <w:jc w:val="right"/>
              <w:rPr>
                <w:sz w:val="20"/>
                <w:szCs w:val="20"/>
              </w:rPr>
            </w:pPr>
            <w:r w:rsidRPr="00A71AB9">
              <w:t xml:space="preserve">  </w:t>
            </w:r>
          </w:p>
        </w:tc>
      </w:tr>
      <w:tr w:rsidR="006E14DF" w:rsidRPr="00D14415" w:rsidTr="007A1A40">
        <w:trPr>
          <w:trHeight w:val="420"/>
          <w:jc w:val="right"/>
        </w:trPr>
        <w:tc>
          <w:tcPr>
            <w:tcW w:w="1326" w:type="pct"/>
            <w:tcBorders>
              <w:top w:val="nil"/>
              <w:bottom w:val="single" w:sz="4" w:space="0" w:color="auto"/>
              <w:right w:val="nil"/>
            </w:tcBorders>
            <w:shd w:val="clear" w:color="auto" w:fill="auto"/>
            <w:noWrap/>
            <w:vAlign w:val="center"/>
            <w:hideMark/>
          </w:tcPr>
          <w:p w:rsidR="006E14DF" w:rsidRPr="00D14415" w:rsidRDefault="006E14DF" w:rsidP="007A1A40">
            <w:pPr>
              <w:widowControl/>
              <w:jc w:val="center"/>
              <w:rPr>
                <w:b/>
                <w:bCs/>
                <w:kern w:val="0"/>
                <w:sz w:val="20"/>
                <w:szCs w:val="20"/>
              </w:rPr>
            </w:pPr>
            <w:r w:rsidRPr="00D14415">
              <w:rPr>
                <w:b/>
                <w:bCs/>
                <w:kern w:val="0"/>
                <w:sz w:val="20"/>
                <w:szCs w:val="20"/>
              </w:rPr>
              <w:t>负债总计</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E14DF" w:rsidRPr="00D14415" w:rsidRDefault="006E14DF" w:rsidP="007A1A40">
            <w:pPr>
              <w:widowControl/>
              <w:jc w:val="center"/>
              <w:rPr>
                <w:b/>
                <w:bCs/>
                <w:kern w:val="0"/>
                <w:sz w:val="18"/>
                <w:szCs w:val="18"/>
              </w:rPr>
            </w:pPr>
            <w:r w:rsidRPr="00D14415">
              <w:rPr>
                <w:b/>
                <w:bCs/>
                <w:kern w:val="0"/>
                <w:sz w:val="18"/>
                <w:szCs w:val="18"/>
              </w:rPr>
              <w:t>13</w:t>
            </w:r>
          </w:p>
        </w:tc>
        <w:tc>
          <w:tcPr>
            <w:tcW w:w="983"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b/>
                <w:bCs/>
                <w:sz w:val="20"/>
                <w:szCs w:val="20"/>
              </w:rPr>
            </w:pPr>
            <w:r w:rsidRPr="001D1A79">
              <w:rPr>
                <w:b/>
                <w:bCs/>
              </w:rPr>
              <w:t xml:space="preserve"> 2,188.73 </w:t>
            </w:r>
          </w:p>
        </w:tc>
        <w:tc>
          <w:tcPr>
            <w:tcW w:w="936"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b/>
                <w:bCs/>
                <w:sz w:val="20"/>
                <w:szCs w:val="20"/>
              </w:rPr>
            </w:pPr>
            <w:r w:rsidRPr="001D1A79">
              <w:rPr>
                <w:b/>
                <w:bCs/>
              </w:rPr>
              <w:t xml:space="preserve"> 2,188.73 </w:t>
            </w:r>
          </w:p>
        </w:tc>
        <w:tc>
          <w:tcPr>
            <w:tcW w:w="832"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b/>
                <w:bCs/>
                <w:sz w:val="20"/>
                <w:szCs w:val="20"/>
              </w:rPr>
            </w:pPr>
            <w:r w:rsidRPr="001D1A79">
              <w:rPr>
                <w:b/>
                <w:bCs/>
              </w:rPr>
              <w:t xml:space="preserve"> -   </w:t>
            </w:r>
          </w:p>
        </w:tc>
        <w:tc>
          <w:tcPr>
            <w:tcW w:w="694" w:type="pct"/>
            <w:tcBorders>
              <w:top w:val="nil"/>
              <w:left w:val="nil"/>
              <w:bottom w:val="single" w:sz="4" w:space="0" w:color="auto"/>
            </w:tcBorders>
            <w:shd w:val="clear" w:color="auto" w:fill="auto"/>
            <w:noWrap/>
            <w:vAlign w:val="center"/>
          </w:tcPr>
          <w:p w:rsidR="006E14DF" w:rsidRPr="0022660A" w:rsidRDefault="006E14DF" w:rsidP="007A1A40">
            <w:pPr>
              <w:jc w:val="right"/>
              <w:rPr>
                <w:b/>
                <w:bCs/>
                <w:sz w:val="20"/>
                <w:szCs w:val="20"/>
              </w:rPr>
            </w:pPr>
            <w:r w:rsidRPr="001D1A79">
              <w:rPr>
                <w:b/>
                <w:bCs/>
              </w:rPr>
              <w:t xml:space="preserve"> -   </w:t>
            </w:r>
          </w:p>
        </w:tc>
      </w:tr>
      <w:tr w:rsidR="006E14DF" w:rsidRPr="00D14415" w:rsidTr="007A1A40">
        <w:trPr>
          <w:trHeight w:val="420"/>
          <w:jc w:val="right"/>
        </w:trPr>
        <w:tc>
          <w:tcPr>
            <w:tcW w:w="1326" w:type="pct"/>
            <w:tcBorders>
              <w:top w:val="nil"/>
              <w:bottom w:val="single" w:sz="4" w:space="0" w:color="auto"/>
              <w:right w:val="nil"/>
            </w:tcBorders>
            <w:shd w:val="clear" w:color="auto" w:fill="auto"/>
            <w:noWrap/>
            <w:vAlign w:val="center"/>
            <w:hideMark/>
          </w:tcPr>
          <w:p w:rsidR="006E14DF" w:rsidRPr="00D14415" w:rsidRDefault="006E14DF" w:rsidP="007A1A40">
            <w:pPr>
              <w:widowControl/>
              <w:jc w:val="center"/>
              <w:rPr>
                <w:b/>
                <w:bCs/>
                <w:kern w:val="0"/>
                <w:sz w:val="20"/>
                <w:szCs w:val="20"/>
              </w:rPr>
            </w:pPr>
            <w:r w:rsidRPr="00D14415">
              <w:rPr>
                <w:b/>
                <w:bCs/>
                <w:kern w:val="0"/>
                <w:sz w:val="20"/>
                <w:szCs w:val="20"/>
              </w:rPr>
              <w:t>净资产</w:t>
            </w:r>
            <w:r w:rsidRPr="00D14415">
              <w:rPr>
                <w:b/>
                <w:bCs/>
                <w:kern w:val="0"/>
                <w:sz w:val="20"/>
                <w:szCs w:val="20"/>
              </w:rPr>
              <w:t>(</w:t>
            </w:r>
            <w:r w:rsidRPr="00D14415">
              <w:rPr>
                <w:b/>
                <w:bCs/>
                <w:kern w:val="0"/>
                <w:sz w:val="20"/>
                <w:szCs w:val="20"/>
              </w:rPr>
              <w:t>所有者权益</w:t>
            </w:r>
            <w:r w:rsidRPr="00D14415">
              <w:rPr>
                <w:b/>
                <w:bCs/>
                <w:kern w:val="0"/>
                <w:sz w:val="20"/>
                <w:szCs w:val="20"/>
              </w:rPr>
              <w:t>)</w:t>
            </w:r>
          </w:p>
        </w:tc>
        <w:tc>
          <w:tcPr>
            <w:tcW w:w="229" w:type="pct"/>
            <w:tcBorders>
              <w:top w:val="nil"/>
              <w:left w:val="single" w:sz="4" w:space="0" w:color="auto"/>
              <w:bottom w:val="single" w:sz="4" w:space="0" w:color="auto"/>
              <w:right w:val="single" w:sz="4" w:space="0" w:color="auto"/>
            </w:tcBorders>
            <w:shd w:val="clear" w:color="auto" w:fill="auto"/>
            <w:noWrap/>
            <w:vAlign w:val="center"/>
            <w:hideMark/>
          </w:tcPr>
          <w:p w:rsidR="006E14DF" w:rsidRPr="00D14415" w:rsidRDefault="006E14DF" w:rsidP="007A1A40">
            <w:pPr>
              <w:widowControl/>
              <w:jc w:val="center"/>
              <w:rPr>
                <w:b/>
                <w:bCs/>
                <w:kern w:val="0"/>
                <w:sz w:val="18"/>
                <w:szCs w:val="18"/>
              </w:rPr>
            </w:pPr>
            <w:r w:rsidRPr="00D14415">
              <w:rPr>
                <w:b/>
                <w:bCs/>
                <w:kern w:val="0"/>
                <w:sz w:val="18"/>
                <w:szCs w:val="18"/>
              </w:rPr>
              <w:t>14</w:t>
            </w:r>
          </w:p>
        </w:tc>
        <w:tc>
          <w:tcPr>
            <w:tcW w:w="983"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b/>
                <w:bCs/>
                <w:sz w:val="20"/>
                <w:szCs w:val="20"/>
              </w:rPr>
            </w:pPr>
            <w:r w:rsidRPr="001D1A79">
              <w:rPr>
                <w:b/>
                <w:bCs/>
              </w:rPr>
              <w:t xml:space="preserve"> 8,271.22 </w:t>
            </w:r>
          </w:p>
        </w:tc>
        <w:tc>
          <w:tcPr>
            <w:tcW w:w="936"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b/>
                <w:bCs/>
                <w:sz w:val="20"/>
                <w:szCs w:val="20"/>
              </w:rPr>
            </w:pPr>
            <w:r w:rsidRPr="001D1A79">
              <w:rPr>
                <w:b/>
                <w:bCs/>
              </w:rPr>
              <w:t xml:space="preserve"> 47,582.39 </w:t>
            </w:r>
          </w:p>
        </w:tc>
        <w:tc>
          <w:tcPr>
            <w:tcW w:w="832" w:type="pct"/>
            <w:tcBorders>
              <w:top w:val="nil"/>
              <w:left w:val="nil"/>
              <w:bottom w:val="single" w:sz="4" w:space="0" w:color="auto"/>
              <w:right w:val="single" w:sz="4" w:space="0" w:color="auto"/>
            </w:tcBorders>
            <w:shd w:val="clear" w:color="auto" w:fill="auto"/>
            <w:noWrap/>
            <w:vAlign w:val="center"/>
          </w:tcPr>
          <w:p w:rsidR="006E14DF" w:rsidRPr="0022660A" w:rsidRDefault="006E14DF" w:rsidP="007A1A40">
            <w:pPr>
              <w:jc w:val="right"/>
              <w:rPr>
                <w:b/>
                <w:bCs/>
                <w:sz w:val="20"/>
                <w:szCs w:val="20"/>
              </w:rPr>
            </w:pPr>
            <w:r w:rsidRPr="001D1A79">
              <w:rPr>
                <w:b/>
                <w:bCs/>
              </w:rPr>
              <w:t xml:space="preserve"> 39,311.17 </w:t>
            </w:r>
          </w:p>
        </w:tc>
        <w:tc>
          <w:tcPr>
            <w:tcW w:w="694" w:type="pct"/>
            <w:tcBorders>
              <w:top w:val="nil"/>
              <w:left w:val="nil"/>
              <w:bottom w:val="single" w:sz="4" w:space="0" w:color="auto"/>
            </w:tcBorders>
            <w:shd w:val="clear" w:color="auto" w:fill="auto"/>
            <w:noWrap/>
            <w:vAlign w:val="center"/>
          </w:tcPr>
          <w:p w:rsidR="006E14DF" w:rsidRPr="0022660A" w:rsidRDefault="006E14DF" w:rsidP="007A1A40">
            <w:pPr>
              <w:jc w:val="right"/>
              <w:rPr>
                <w:b/>
                <w:bCs/>
                <w:sz w:val="20"/>
                <w:szCs w:val="20"/>
              </w:rPr>
            </w:pPr>
            <w:r w:rsidRPr="001D1A79">
              <w:rPr>
                <w:b/>
                <w:bCs/>
              </w:rPr>
              <w:t xml:space="preserve"> 475.28 </w:t>
            </w:r>
          </w:p>
        </w:tc>
      </w:tr>
    </w:tbl>
    <w:p w:rsidR="006E14DF" w:rsidRPr="00141F90" w:rsidRDefault="006E14DF" w:rsidP="006E14DF">
      <w:pPr>
        <w:spacing w:beforeLines="50" w:line="360" w:lineRule="auto"/>
        <w:ind w:firstLineChars="200" w:firstLine="480"/>
        <w:rPr>
          <w:rFonts w:hint="eastAsia"/>
          <w:color w:val="000000"/>
          <w:sz w:val="24"/>
        </w:rPr>
      </w:pPr>
      <w:r w:rsidRPr="002C4090">
        <w:rPr>
          <w:rFonts w:hint="eastAsia"/>
          <w:color w:val="000000"/>
          <w:sz w:val="24"/>
        </w:rPr>
        <w:t>根据《云南省采矿权出让合同（延续）》，合同编号</w:t>
      </w:r>
      <w:r w:rsidRPr="002C4090">
        <w:rPr>
          <w:rFonts w:hint="eastAsia"/>
          <w:color w:val="000000"/>
          <w:sz w:val="24"/>
        </w:rPr>
        <w:t>2018</w:t>
      </w:r>
      <w:r w:rsidRPr="002C4090">
        <w:rPr>
          <w:rFonts w:hint="eastAsia"/>
          <w:color w:val="000000"/>
          <w:sz w:val="24"/>
        </w:rPr>
        <w:t>出采</w:t>
      </w:r>
      <w:r w:rsidRPr="002C4090">
        <w:rPr>
          <w:rFonts w:hint="eastAsia"/>
          <w:color w:val="000000"/>
          <w:sz w:val="24"/>
        </w:rPr>
        <w:t>13</w:t>
      </w:r>
      <w:r w:rsidRPr="002C4090">
        <w:rPr>
          <w:rFonts w:hint="eastAsia"/>
          <w:color w:val="000000"/>
          <w:sz w:val="24"/>
        </w:rPr>
        <w:t>号，</w:t>
      </w:r>
      <w:r>
        <w:rPr>
          <w:rFonts w:hint="eastAsia"/>
          <w:color w:val="000000"/>
          <w:sz w:val="24"/>
        </w:rPr>
        <w:t>富源团结煤业有限公司</w:t>
      </w:r>
      <w:r w:rsidRPr="002C4090">
        <w:rPr>
          <w:rFonts w:hint="eastAsia"/>
          <w:color w:val="000000"/>
          <w:sz w:val="24"/>
        </w:rPr>
        <w:t>竹园镇团结煤矿采矿权出让益为</w:t>
      </w:r>
      <w:r w:rsidRPr="002C4090">
        <w:rPr>
          <w:rFonts w:hint="eastAsia"/>
          <w:color w:val="000000"/>
          <w:sz w:val="24"/>
        </w:rPr>
        <w:t>1,792.01</w:t>
      </w:r>
      <w:r w:rsidRPr="002C4090">
        <w:rPr>
          <w:rFonts w:hint="eastAsia"/>
          <w:color w:val="000000"/>
          <w:sz w:val="24"/>
        </w:rPr>
        <w:t>万元，企业于</w:t>
      </w:r>
      <w:r w:rsidRPr="002C4090">
        <w:rPr>
          <w:rFonts w:hint="eastAsia"/>
          <w:color w:val="000000"/>
          <w:sz w:val="24"/>
        </w:rPr>
        <w:t>2023</w:t>
      </w:r>
      <w:r w:rsidRPr="002C4090">
        <w:rPr>
          <w:rFonts w:hint="eastAsia"/>
          <w:color w:val="000000"/>
          <w:sz w:val="24"/>
        </w:rPr>
        <w:t>年</w:t>
      </w:r>
      <w:r w:rsidRPr="002C4090">
        <w:rPr>
          <w:rFonts w:hint="eastAsia"/>
          <w:color w:val="000000"/>
          <w:sz w:val="24"/>
        </w:rPr>
        <w:t>12</w:t>
      </w:r>
      <w:r w:rsidRPr="002C4090">
        <w:rPr>
          <w:rFonts w:hint="eastAsia"/>
          <w:color w:val="000000"/>
          <w:sz w:val="24"/>
        </w:rPr>
        <w:t>月</w:t>
      </w:r>
      <w:r w:rsidRPr="002C4090">
        <w:rPr>
          <w:rFonts w:hint="eastAsia"/>
          <w:color w:val="000000"/>
          <w:sz w:val="24"/>
        </w:rPr>
        <w:t>31</w:t>
      </w:r>
      <w:r w:rsidRPr="002C4090">
        <w:rPr>
          <w:rFonts w:hint="eastAsia"/>
          <w:color w:val="000000"/>
          <w:sz w:val="24"/>
        </w:rPr>
        <w:t>日前分六次付清采矿权出让收益金，截止评估基准日企业已缴纳</w:t>
      </w:r>
      <w:r w:rsidRPr="002C4090">
        <w:rPr>
          <w:rFonts w:hint="eastAsia"/>
          <w:color w:val="000000"/>
          <w:sz w:val="24"/>
        </w:rPr>
        <w:t>1,018.01</w:t>
      </w:r>
      <w:r w:rsidRPr="002C4090">
        <w:rPr>
          <w:rFonts w:hint="eastAsia"/>
          <w:color w:val="000000"/>
          <w:sz w:val="24"/>
        </w:rPr>
        <w:t>万元，未缴纳的</w:t>
      </w:r>
      <w:r w:rsidRPr="002C4090">
        <w:rPr>
          <w:rFonts w:hint="eastAsia"/>
          <w:color w:val="000000"/>
          <w:sz w:val="24"/>
        </w:rPr>
        <w:t>774</w:t>
      </w:r>
      <w:r w:rsidRPr="002C4090">
        <w:rPr>
          <w:rFonts w:hint="eastAsia"/>
          <w:color w:val="000000"/>
          <w:sz w:val="24"/>
        </w:rPr>
        <w:t>万元本次评估作为采矿权评估价值的扣除项</w:t>
      </w:r>
      <w:bookmarkEnd w:id="0"/>
      <w:r>
        <w:rPr>
          <w:rFonts w:hint="eastAsia"/>
          <w:color w:val="000000"/>
          <w:sz w:val="24"/>
        </w:rPr>
        <w:t>；</w:t>
      </w:r>
      <w:r w:rsidRPr="00694D5F">
        <w:rPr>
          <w:rFonts w:hint="eastAsia"/>
          <w:color w:val="000000"/>
          <w:sz w:val="24"/>
        </w:rPr>
        <w:t>根据《云南煤化工集团所属云维集团所属（管）煤矿使用职工安置产能置换指标表》，富源团结煤业有限公司竹园镇团结煤矿使用职工安置折算指标数量为</w:t>
      </w:r>
      <w:r w:rsidRPr="00694D5F">
        <w:rPr>
          <w:rFonts w:hint="eastAsia"/>
          <w:color w:val="000000"/>
          <w:sz w:val="24"/>
        </w:rPr>
        <w:t>11</w:t>
      </w:r>
      <w:r w:rsidRPr="00694D5F">
        <w:rPr>
          <w:rFonts w:hint="eastAsia"/>
          <w:color w:val="000000"/>
          <w:sz w:val="24"/>
        </w:rPr>
        <w:t>万吨</w:t>
      </w:r>
      <w:r w:rsidRPr="00694D5F">
        <w:rPr>
          <w:rFonts w:hint="eastAsia"/>
          <w:color w:val="000000"/>
          <w:sz w:val="24"/>
        </w:rPr>
        <w:t>/</w:t>
      </w:r>
      <w:r w:rsidRPr="00694D5F">
        <w:rPr>
          <w:rFonts w:hint="eastAsia"/>
          <w:color w:val="000000"/>
          <w:sz w:val="24"/>
        </w:rPr>
        <w:t>年，参照市场交易价计算的金额为</w:t>
      </w:r>
      <w:r w:rsidRPr="00694D5F">
        <w:rPr>
          <w:rFonts w:hint="eastAsia"/>
          <w:color w:val="000000"/>
          <w:sz w:val="24"/>
        </w:rPr>
        <w:t>1,870.00</w:t>
      </w:r>
      <w:r w:rsidRPr="00694D5F">
        <w:rPr>
          <w:rFonts w:hint="eastAsia"/>
          <w:color w:val="000000"/>
          <w:sz w:val="24"/>
        </w:rPr>
        <w:t>万元本次评估作为采矿权评估价值的扣除项。</w:t>
      </w:r>
    </w:p>
    <w:p w:rsidR="006E14DF" w:rsidRPr="00565925" w:rsidRDefault="006E14DF" w:rsidP="006E14DF">
      <w:pPr>
        <w:pStyle w:val="a3"/>
        <w:spacing w:line="360" w:lineRule="auto"/>
        <w:ind w:firstLineChars="200" w:firstLine="480"/>
        <w:rPr>
          <w:rFonts w:hAnsi="宋体" w:hint="eastAsia"/>
          <w:sz w:val="24"/>
        </w:rPr>
      </w:pPr>
      <w:r w:rsidRPr="003810F0">
        <w:rPr>
          <w:rFonts w:hAnsi="宋体"/>
          <w:sz w:val="24"/>
        </w:rPr>
        <w:t>本</w:t>
      </w:r>
      <w:r w:rsidRPr="00565925">
        <w:rPr>
          <w:rFonts w:hAnsi="宋体" w:hint="eastAsia"/>
          <w:sz w:val="24"/>
        </w:rPr>
        <w:t>资产评估报告仅为资产评估报告中描述的经济行为提供价值参考依据，评估结论的使用有效期原则上</w:t>
      </w:r>
      <w:r w:rsidRPr="00565925">
        <w:rPr>
          <w:rFonts w:hAnsi="宋体"/>
          <w:sz w:val="24"/>
        </w:rPr>
        <w:t>为</w:t>
      </w:r>
      <w:r w:rsidRPr="00565925">
        <w:rPr>
          <w:rFonts w:hAnsi="宋体" w:hint="eastAsia"/>
          <w:sz w:val="24"/>
        </w:rPr>
        <w:t>自</w:t>
      </w:r>
      <w:r w:rsidRPr="00565925">
        <w:rPr>
          <w:rFonts w:hAnsi="宋体"/>
          <w:sz w:val="24"/>
        </w:rPr>
        <w:t>评估基准日</w:t>
      </w:r>
      <w:r w:rsidRPr="00565925">
        <w:rPr>
          <w:rFonts w:hAnsi="宋体" w:hint="eastAsia"/>
          <w:sz w:val="24"/>
        </w:rPr>
        <w:t>起</w:t>
      </w:r>
      <w:r w:rsidRPr="00565925">
        <w:rPr>
          <w:rFonts w:hAnsi="宋体"/>
          <w:sz w:val="24"/>
        </w:rPr>
        <w:t>一年</w:t>
      </w:r>
      <w:r w:rsidRPr="003810F0">
        <w:rPr>
          <w:rFonts w:hAnsi="宋体"/>
          <w:sz w:val="24"/>
        </w:rPr>
        <w:t>。</w:t>
      </w:r>
      <w:r w:rsidRPr="00C40A0A">
        <w:rPr>
          <w:rFonts w:hAnsi="宋体" w:hint="eastAsia"/>
          <w:sz w:val="24"/>
        </w:rPr>
        <w:t>如果资产状况、市场状况与</w:t>
      </w:r>
      <w:r>
        <w:rPr>
          <w:rFonts w:hAnsi="宋体" w:hint="eastAsia"/>
          <w:sz w:val="24"/>
        </w:rPr>
        <w:t>评估</w:t>
      </w:r>
      <w:r w:rsidRPr="00C40A0A">
        <w:rPr>
          <w:rFonts w:hAnsi="宋体" w:hint="eastAsia"/>
          <w:sz w:val="24"/>
        </w:rPr>
        <w:t>基准日相关状况相比发生重大变化，委托方应当委托评估机构执行评估更新业务或重新评估。</w:t>
      </w:r>
    </w:p>
    <w:p w:rsidR="006E14DF" w:rsidRDefault="006E14DF" w:rsidP="006E14DF">
      <w:pPr>
        <w:spacing w:line="360" w:lineRule="auto"/>
        <w:ind w:firstLineChars="200" w:firstLine="480"/>
        <w:rPr>
          <w:rFonts w:hint="eastAsia"/>
          <w:sz w:val="24"/>
        </w:rPr>
      </w:pPr>
      <w:r w:rsidRPr="00485B63">
        <w:rPr>
          <w:rFonts w:hint="eastAsia"/>
          <w:sz w:val="24"/>
        </w:rPr>
        <w:t>以上内容摘自资产评估报告正文，欲了解本评估业务的详细情况和正确理解评估结论，应当阅读资产评估报告正文。</w:t>
      </w:r>
    </w:p>
    <w:p w:rsidR="00DB4D52" w:rsidRPr="006E14DF" w:rsidRDefault="00DB4D52" w:rsidP="006E14DF">
      <w:pPr>
        <w:pStyle w:val="a3"/>
        <w:spacing w:line="360" w:lineRule="auto"/>
        <w:ind w:firstLineChars="200"/>
      </w:pPr>
    </w:p>
    <w:sectPr w:rsidR="00DB4D52" w:rsidRPr="006E14DF" w:rsidSect="009317D0">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177" w:rsidRDefault="00EC2177" w:rsidP="00AD7AA7">
      <w:r>
        <w:separator/>
      </w:r>
    </w:p>
  </w:endnote>
  <w:endnote w:type="continuationSeparator" w:id="1">
    <w:p w:rsidR="00EC2177" w:rsidRDefault="00EC2177" w:rsidP="00AD7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幼圆">
    <w:panose1 w:val="02010509060101010101"/>
    <w:charset w:val="86"/>
    <w:family w:val="modern"/>
    <w:pitch w:val="fixed"/>
    <w:sig w:usb0="00000001" w:usb1="080E0000" w:usb2="00000010" w:usb3="00000000" w:csb0="00040000" w:csb1="00000000"/>
  </w:font>
  <w:font w:name="SimSun">
    <w:altName w:val="Sim Sun"/>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177" w:rsidRDefault="00EC2177" w:rsidP="00AD7AA7">
      <w:r>
        <w:separator/>
      </w:r>
    </w:p>
  </w:footnote>
  <w:footnote w:type="continuationSeparator" w:id="1">
    <w:p w:rsidR="00EC2177" w:rsidRDefault="00EC2177" w:rsidP="00AD7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6ABF60"/>
    <w:multiLevelType w:val="singleLevel"/>
    <w:tmpl w:val="846ABF60"/>
    <w:lvl w:ilvl="0">
      <w:start w:val="1"/>
      <w:numFmt w:val="chineseCounting"/>
      <w:suff w:val="nothing"/>
      <w:lvlText w:val="（%1）"/>
      <w:lvlJc w:val="left"/>
      <w:rPr>
        <w:rFonts w:hint="eastAsia"/>
      </w:rPr>
    </w:lvl>
  </w:abstractNum>
  <w:abstractNum w:abstractNumId="1">
    <w:nsid w:val="23F7052E"/>
    <w:multiLevelType w:val="hybridMultilevel"/>
    <w:tmpl w:val="1898FF3E"/>
    <w:lvl w:ilvl="0" w:tplc="11A2E426">
      <w:start w:val="1"/>
      <w:numFmt w:val="chineseCountingThousand"/>
      <w:suff w:val="space"/>
      <w:lvlText w:val="%1、"/>
      <w:lvlJc w:val="center"/>
      <w:pPr>
        <w:ind w:left="84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2A6"/>
    <w:rsid w:val="00190583"/>
    <w:rsid w:val="00363839"/>
    <w:rsid w:val="004069D1"/>
    <w:rsid w:val="00474D9E"/>
    <w:rsid w:val="00496E16"/>
    <w:rsid w:val="004B142D"/>
    <w:rsid w:val="004C4112"/>
    <w:rsid w:val="006812F9"/>
    <w:rsid w:val="006E14DF"/>
    <w:rsid w:val="007A2548"/>
    <w:rsid w:val="00851E7E"/>
    <w:rsid w:val="008B5548"/>
    <w:rsid w:val="008D52A6"/>
    <w:rsid w:val="009317D0"/>
    <w:rsid w:val="00A0607A"/>
    <w:rsid w:val="00A24200"/>
    <w:rsid w:val="00A54EA0"/>
    <w:rsid w:val="00AD7AA7"/>
    <w:rsid w:val="00B95E7A"/>
    <w:rsid w:val="00BE4E12"/>
    <w:rsid w:val="00D30483"/>
    <w:rsid w:val="00DB4D52"/>
    <w:rsid w:val="00E6089D"/>
    <w:rsid w:val="00E73349"/>
    <w:rsid w:val="00EC2177"/>
    <w:rsid w:val="00EC60C0"/>
    <w:rsid w:val="00F12AF7"/>
    <w:rsid w:val="00F37167"/>
    <w:rsid w:val="00F44F6F"/>
    <w:rsid w:val="00FA7FF0"/>
    <w:rsid w:val="00FF09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2A6"/>
    <w:pPr>
      <w:widowControl w:val="0"/>
      <w:jc w:val="both"/>
    </w:pPr>
    <w:rPr>
      <w:rFonts w:ascii="Times New Roman" w:eastAsia="宋体" w:hAnsi="Times New Roman" w:cs="Times New Roman"/>
      <w:szCs w:val="24"/>
    </w:rPr>
  </w:style>
  <w:style w:type="paragraph" w:styleId="1">
    <w:name w:val="heading 1"/>
    <w:basedOn w:val="a"/>
    <w:next w:val="a"/>
    <w:link w:val="1Char"/>
    <w:qFormat/>
    <w:rsid w:val="00AD7AA7"/>
    <w:pPr>
      <w:keepNext/>
      <w:keepLines/>
      <w:adjustRightInd w:val="0"/>
      <w:spacing w:before="340" w:after="330" w:line="578" w:lineRule="atLeast"/>
      <w:ind w:firstLine="425"/>
      <w:textAlignment w:val="baseline"/>
      <w:outlineLvl w:val="0"/>
    </w:pPr>
    <w:rPr>
      <w:rFonts w:eastAsia="黑体"/>
      <w:b/>
      <w:kern w:val="44"/>
      <w:sz w:val="36"/>
      <w:szCs w:val="20"/>
    </w:rPr>
  </w:style>
  <w:style w:type="paragraph" w:styleId="2">
    <w:name w:val="heading 2"/>
    <w:basedOn w:val="a"/>
    <w:next w:val="a"/>
    <w:link w:val="2Char"/>
    <w:qFormat/>
    <w:rsid w:val="00AD7AA7"/>
    <w:pPr>
      <w:keepNext/>
      <w:keepLines/>
      <w:adjustRightInd w:val="0"/>
      <w:spacing w:before="260" w:after="260" w:line="416" w:lineRule="atLeast"/>
      <w:ind w:firstLine="425"/>
      <w:textAlignment w:val="baseline"/>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正文2级,表正文,正文非缩进,特点,正文缩进William,ALT+Z,标题4,正文（首行缩进两字） Char,正文（首行缩进两字） Char Char Char Char,正文（首行缩进两字） Char Char Char Char Char Char,正文缩进1,表正文1,正文非缩进1,正文缩进William1,特点1,ALT+Z1,标题41,正文（首行缩进两字） Char1 Char Char Char,段1,±íÕýÎÄ,ÕýÎÄ·ÇËõ½ø,正文对齐,Alt+X,mr正文缩进,水上"/>
    <w:basedOn w:val="a"/>
    <w:link w:val="Char"/>
    <w:qFormat/>
    <w:rsid w:val="008D52A6"/>
    <w:pPr>
      <w:autoSpaceDE w:val="0"/>
      <w:autoSpaceDN w:val="0"/>
      <w:adjustRightInd w:val="0"/>
      <w:ind w:firstLine="420"/>
      <w:textAlignment w:val="baseline"/>
    </w:pPr>
    <w:rPr>
      <w:rFonts w:ascii="宋体"/>
      <w:kern w:val="0"/>
      <w:szCs w:val="20"/>
    </w:rPr>
  </w:style>
  <w:style w:type="character" w:customStyle="1" w:styleId="Char">
    <w:name w:val="正文缩进 Char"/>
    <w:aliases w:val="正文2级 Char,表正文 Char,正文非缩进 Char,特点 Char,正文缩进William Char,ALT+Z Char,标题4 Char,正文（首行缩进两字） Char Char,正文（首行缩进两字） Char Char Char Char Char,正文（首行缩进两字） Char Char Char Char Char Char Char,正文缩进1 Char,表正文1 Char,正文非缩进1 Char,正文缩进William1 Char,特点1 Char,居中 Char"/>
    <w:link w:val="a3"/>
    <w:qFormat/>
    <w:rsid w:val="008D52A6"/>
    <w:rPr>
      <w:rFonts w:ascii="宋体" w:eastAsia="宋体" w:hAnsi="Times New Roman" w:cs="Times New Roman"/>
      <w:kern w:val="0"/>
      <w:szCs w:val="20"/>
    </w:rPr>
  </w:style>
  <w:style w:type="paragraph" w:styleId="a4">
    <w:name w:val="header"/>
    <w:basedOn w:val="a"/>
    <w:link w:val="Char0"/>
    <w:uiPriority w:val="99"/>
    <w:unhideWhenUsed/>
    <w:rsid w:val="00AD7A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D7AA7"/>
    <w:rPr>
      <w:rFonts w:ascii="Times New Roman" w:eastAsia="宋体" w:hAnsi="Times New Roman" w:cs="Times New Roman"/>
      <w:sz w:val="18"/>
      <w:szCs w:val="18"/>
    </w:rPr>
  </w:style>
  <w:style w:type="paragraph" w:styleId="a5">
    <w:name w:val="footer"/>
    <w:basedOn w:val="a"/>
    <w:link w:val="Char1"/>
    <w:uiPriority w:val="99"/>
    <w:unhideWhenUsed/>
    <w:rsid w:val="00AD7AA7"/>
    <w:pPr>
      <w:tabs>
        <w:tab w:val="center" w:pos="4153"/>
        <w:tab w:val="right" w:pos="8306"/>
      </w:tabs>
      <w:snapToGrid w:val="0"/>
      <w:jc w:val="left"/>
    </w:pPr>
    <w:rPr>
      <w:sz w:val="18"/>
      <w:szCs w:val="18"/>
    </w:rPr>
  </w:style>
  <w:style w:type="character" w:customStyle="1" w:styleId="Char1">
    <w:name w:val="页脚 Char"/>
    <w:basedOn w:val="a0"/>
    <w:link w:val="a5"/>
    <w:uiPriority w:val="99"/>
    <w:rsid w:val="00AD7AA7"/>
    <w:rPr>
      <w:rFonts w:ascii="Times New Roman" w:eastAsia="宋体" w:hAnsi="Times New Roman" w:cs="Times New Roman"/>
      <w:sz w:val="18"/>
      <w:szCs w:val="18"/>
    </w:rPr>
  </w:style>
  <w:style w:type="character" w:customStyle="1" w:styleId="1Char">
    <w:name w:val="标题 1 Char"/>
    <w:basedOn w:val="a0"/>
    <w:link w:val="1"/>
    <w:qFormat/>
    <w:rsid w:val="00AD7AA7"/>
    <w:rPr>
      <w:rFonts w:ascii="Times New Roman" w:eastAsia="黑体" w:hAnsi="Times New Roman" w:cs="Times New Roman"/>
      <w:b/>
      <w:kern w:val="44"/>
      <w:sz w:val="36"/>
      <w:szCs w:val="20"/>
    </w:rPr>
  </w:style>
  <w:style w:type="character" w:customStyle="1" w:styleId="2Char">
    <w:name w:val="标题 2 Char"/>
    <w:basedOn w:val="a0"/>
    <w:link w:val="2"/>
    <w:qFormat/>
    <w:rsid w:val="00AD7AA7"/>
    <w:rPr>
      <w:rFonts w:ascii="Arial" w:eastAsia="黑体" w:hAnsi="Arial" w:cs="Times New Roman"/>
      <w:b/>
      <w:kern w:val="0"/>
      <w:sz w:val="32"/>
      <w:szCs w:val="20"/>
    </w:rPr>
  </w:style>
  <w:style w:type="character" w:styleId="a6">
    <w:name w:val="Hyperlink"/>
    <w:uiPriority w:val="99"/>
    <w:qFormat/>
    <w:rsid w:val="00AD7AA7"/>
    <w:rPr>
      <w:color w:val="0000FF"/>
      <w:u w:val="single"/>
    </w:rPr>
  </w:style>
  <w:style w:type="character" w:customStyle="1" w:styleId="Char10">
    <w:name w:val="正文缩进 Char1"/>
    <w:qFormat/>
    <w:rsid w:val="00AD7AA7"/>
    <w:rPr>
      <w:sz w:val="24"/>
    </w:rPr>
  </w:style>
  <w:style w:type="paragraph" w:customStyle="1" w:styleId="zw">
    <w:name w:val="zw"/>
    <w:basedOn w:val="a"/>
    <w:link w:val="zwChar"/>
    <w:qFormat/>
    <w:rsid w:val="00F12AF7"/>
    <w:pPr>
      <w:autoSpaceDE w:val="0"/>
      <w:autoSpaceDN w:val="0"/>
      <w:adjustRightInd w:val="0"/>
      <w:spacing w:line="360" w:lineRule="auto"/>
      <w:ind w:firstLine="482"/>
      <w:textAlignment w:val="bottom"/>
    </w:pPr>
    <w:rPr>
      <w:rFonts w:ascii="Arial Narrow" w:eastAsia="幼圆" w:hAnsi="Arial Narrow"/>
      <w:kern w:val="0"/>
      <w:sz w:val="24"/>
      <w:szCs w:val="20"/>
    </w:rPr>
  </w:style>
  <w:style w:type="character" w:customStyle="1" w:styleId="zwChar">
    <w:name w:val="zw Char"/>
    <w:link w:val="zw"/>
    <w:qFormat/>
    <w:rsid w:val="00F12AF7"/>
    <w:rPr>
      <w:rFonts w:ascii="Arial Narrow" w:eastAsia="幼圆" w:hAnsi="Arial Narrow" w:cs="Times New Roman"/>
      <w:kern w:val="0"/>
      <w:sz w:val="24"/>
      <w:szCs w:val="20"/>
    </w:rPr>
  </w:style>
  <w:style w:type="paragraph" w:styleId="a7">
    <w:name w:val="List"/>
    <w:basedOn w:val="a"/>
    <w:rsid w:val="00F12AF7"/>
    <w:pPr>
      <w:ind w:left="420" w:hanging="420"/>
    </w:pPr>
    <w:rPr>
      <w:szCs w:val="20"/>
    </w:rPr>
  </w:style>
  <w:style w:type="paragraph" w:customStyle="1" w:styleId="Default">
    <w:name w:val="Default"/>
    <w:rsid w:val="00474D9E"/>
    <w:pPr>
      <w:widowControl w:val="0"/>
      <w:autoSpaceDE w:val="0"/>
      <w:autoSpaceDN w:val="0"/>
      <w:adjustRightInd w:val="0"/>
    </w:pPr>
    <w:rPr>
      <w:rFonts w:ascii="SimSun" w:hAnsi="SimSun" w:cs="SimSu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2A6"/>
    <w:pPr>
      <w:widowControl w:val="0"/>
      <w:jc w:val="both"/>
    </w:pPr>
    <w:rPr>
      <w:rFonts w:ascii="Times New Roman" w:eastAsia="宋体" w:hAnsi="Times New Roman" w:cs="Times New Roman"/>
      <w:szCs w:val="24"/>
    </w:rPr>
  </w:style>
  <w:style w:type="paragraph" w:styleId="1">
    <w:name w:val="heading 1"/>
    <w:basedOn w:val="a"/>
    <w:next w:val="a"/>
    <w:link w:val="1Char"/>
    <w:qFormat/>
    <w:rsid w:val="00AD7AA7"/>
    <w:pPr>
      <w:keepNext/>
      <w:keepLines/>
      <w:adjustRightInd w:val="0"/>
      <w:spacing w:before="340" w:after="330" w:line="578" w:lineRule="atLeast"/>
      <w:ind w:firstLine="425"/>
      <w:textAlignment w:val="baseline"/>
      <w:outlineLvl w:val="0"/>
    </w:pPr>
    <w:rPr>
      <w:rFonts w:eastAsia="黑体"/>
      <w:b/>
      <w:kern w:val="44"/>
      <w:sz w:val="36"/>
      <w:szCs w:val="20"/>
    </w:rPr>
  </w:style>
  <w:style w:type="paragraph" w:styleId="2">
    <w:name w:val="heading 2"/>
    <w:basedOn w:val="a"/>
    <w:next w:val="a"/>
    <w:link w:val="2Char"/>
    <w:qFormat/>
    <w:rsid w:val="00AD7AA7"/>
    <w:pPr>
      <w:keepNext/>
      <w:keepLines/>
      <w:adjustRightInd w:val="0"/>
      <w:spacing w:before="260" w:after="260" w:line="416" w:lineRule="atLeast"/>
      <w:ind w:firstLine="425"/>
      <w:textAlignment w:val="baseline"/>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正文2级,表正文,正文非缩进,特点,正文缩进William,ALT+Z,标题4,正文（首行缩进两字） Char,正文（首行缩进两字） Char Char Char Char,正文（首行缩进两字） Char Char Char Char Char Char,正文缩进1,表正文1,正文非缩进1,正文缩进William1,特点1,ALT+Z1,标题41,正文（首行缩进两字） Char1 Char Char Char,段1,±íÕýÎÄ,ÕýÎÄ·ÇËõ½ø,正文对齐,Alt+X,mr正文缩进,水上"/>
    <w:basedOn w:val="a"/>
    <w:link w:val="Char"/>
    <w:qFormat/>
    <w:rsid w:val="008D52A6"/>
    <w:pPr>
      <w:autoSpaceDE w:val="0"/>
      <w:autoSpaceDN w:val="0"/>
      <w:adjustRightInd w:val="0"/>
      <w:ind w:firstLine="420"/>
      <w:textAlignment w:val="baseline"/>
    </w:pPr>
    <w:rPr>
      <w:rFonts w:ascii="宋体"/>
      <w:kern w:val="0"/>
      <w:szCs w:val="20"/>
    </w:rPr>
  </w:style>
  <w:style w:type="character" w:customStyle="1" w:styleId="Char">
    <w:name w:val="正文缩进 Char"/>
    <w:aliases w:val="正文2级 Char,表正文 Char,正文非缩进 Char,特点 Char,正文缩进William Char,ALT+Z Char,标题4 Char,正文（首行缩进两字） Char Char,正文（首行缩进两字） Char Char Char Char Char,正文（首行缩进两字） Char Char Char Char Char Char Char,正文缩进1 Char,表正文1 Char,正文非缩进1 Char,正文缩进William1 Char,特点1 Char"/>
    <w:link w:val="a3"/>
    <w:qFormat/>
    <w:rsid w:val="008D52A6"/>
    <w:rPr>
      <w:rFonts w:ascii="宋体" w:eastAsia="宋体" w:hAnsi="Times New Roman" w:cs="Times New Roman"/>
      <w:kern w:val="0"/>
      <w:szCs w:val="20"/>
    </w:rPr>
  </w:style>
  <w:style w:type="paragraph" w:styleId="a4">
    <w:name w:val="header"/>
    <w:basedOn w:val="a"/>
    <w:link w:val="Char0"/>
    <w:uiPriority w:val="99"/>
    <w:unhideWhenUsed/>
    <w:rsid w:val="00AD7A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D7AA7"/>
    <w:rPr>
      <w:rFonts w:ascii="Times New Roman" w:eastAsia="宋体" w:hAnsi="Times New Roman" w:cs="Times New Roman"/>
      <w:sz w:val="18"/>
      <w:szCs w:val="18"/>
    </w:rPr>
  </w:style>
  <w:style w:type="paragraph" w:styleId="a5">
    <w:name w:val="footer"/>
    <w:basedOn w:val="a"/>
    <w:link w:val="Char1"/>
    <w:uiPriority w:val="99"/>
    <w:unhideWhenUsed/>
    <w:rsid w:val="00AD7AA7"/>
    <w:pPr>
      <w:tabs>
        <w:tab w:val="center" w:pos="4153"/>
        <w:tab w:val="right" w:pos="8306"/>
      </w:tabs>
      <w:snapToGrid w:val="0"/>
      <w:jc w:val="left"/>
    </w:pPr>
    <w:rPr>
      <w:sz w:val="18"/>
      <w:szCs w:val="18"/>
    </w:rPr>
  </w:style>
  <w:style w:type="character" w:customStyle="1" w:styleId="Char1">
    <w:name w:val="页脚 Char"/>
    <w:basedOn w:val="a0"/>
    <w:link w:val="a5"/>
    <w:uiPriority w:val="99"/>
    <w:rsid w:val="00AD7AA7"/>
    <w:rPr>
      <w:rFonts w:ascii="Times New Roman" w:eastAsia="宋体" w:hAnsi="Times New Roman" w:cs="Times New Roman"/>
      <w:sz w:val="18"/>
      <w:szCs w:val="18"/>
    </w:rPr>
  </w:style>
  <w:style w:type="character" w:customStyle="1" w:styleId="1Char">
    <w:name w:val="标题 1 Char"/>
    <w:basedOn w:val="a0"/>
    <w:link w:val="1"/>
    <w:qFormat/>
    <w:rsid w:val="00AD7AA7"/>
    <w:rPr>
      <w:rFonts w:ascii="Times New Roman" w:eastAsia="黑体" w:hAnsi="Times New Roman" w:cs="Times New Roman"/>
      <w:b/>
      <w:kern w:val="44"/>
      <w:sz w:val="36"/>
      <w:szCs w:val="20"/>
    </w:rPr>
  </w:style>
  <w:style w:type="character" w:customStyle="1" w:styleId="2Char">
    <w:name w:val="标题 2 Char"/>
    <w:basedOn w:val="a0"/>
    <w:link w:val="2"/>
    <w:qFormat/>
    <w:rsid w:val="00AD7AA7"/>
    <w:rPr>
      <w:rFonts w:ascii="Arial" w:eastAsia="黑体" w:hAnsi="Arial" w:cs="Times New Roman"/>
      <w:b/>
      <w:kern w:val="0"/>
      <w:sz w:val="32"/>
      <w:szCs w:val="20"/>
    </w:rPr>
  </w:style>
  <w:style w:type="character" w:styleId="a6">
    <w:name w:val="Hyperlink"/>
    <w:uiPriority w:val="99"/>
    <w:qFormat/>
    <w:rsid w:val="00AD7AA7"/>
    <w:rPr>
      <w:color w:val="0000FF"/>
      <w:u w:val="single"/>
    </w:rPr>
  </w:style>
  <w:style w:type="character" w:customStyle="1" w:styleId="Char10">
    <w:name w:val="正文缩进 Char1"/>
    <w:qFormat/>
    <w:rsid w:val="00AD7AA7"/>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彭海辉</dc:creator>
  <cp:keywords/>
  <dc:description/>
  <cp:lastModifiedBy>董丽彬</cp:lastModifiedBy>
  <cp:revision>12</cp:revision>
  <dcterms:created xsi:type="dcterms:W3CDTF">2019-12-24T01:24:00Z</dcterms:created>
  <dcterms:modified xsi:type="dcterms:W3CDTF">2020-03-25T01:22:00Z</dcterms:modified>
</cp:coreProperties>
</file>