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18" w:rsidRPr="00875C18" w:rsidRDefault="00875C18" w:rsidP="00875C18">
      <w:pPr>
        <w:spacing w:line="600" w:lineRule="exact"/>
        <w:jc w:val="center"/>
        <w:rPr>
          <w:rFonts w:ascii="仿宋" w:eastAsia="仿宋" w:hAnsi="仿宋"/>
          <w:b/>
          <w:iCs/>
          <w:sz w:val="32"/>
          <w:szCs w:val="32"/>
        </w:rPr>
      </w:pPr>
      <w:r w:rsidRPr="00875C18">
        <w:rPr>
          <w:rFonts w:ascii="仿宋" w:eastAsia="仿宋" w:hAnsi="仿宋" w:hint="eastAsia"/>
          <w:b/>
          <w:iCs/>
          <w:sz w:val="32"/>
          <w:szCs w:val="32"/>
        </w:rPr>
        <w:t>云南云维集团有限公司拟股权转让所涉及的富源县十八连山镇四角地煤矿有限公司股东全部权益价值评估项目</w:t>
      </w:r>
    </w:p>
    <w:p w:rsidR="00875C18" w:rsidRPr="00875C18" w:rsidRDefault="00875C18" w:rsidP="00875C18">
      <w:pPr>
        <w:spacing w:line="600" w:lineRule="exact"/>
        <w:jc w:val="center"/>
        <w:rPr>
          <w:rFonts w:ascii="仿宋" w:eastAsia="仿宋" w:hAnsi="仿宋"/>
          <w:b/>
          <w:iCs/>
          <w:sz w:val="32"/>
          <w:szCs w:val="32"/>
        </w:rPr>
      </w:pPr>
      <w:bookmarkStart w:id="0" w:name="_Toc33620236"/>
      <w:r w:rsidRPr="00875C18">
        <w:rPr>
          <w:rFonts w:ascii="仿宋" w:eastAsia="仿宋" w:hAnsi="仿宋"/>
          <w:b/>
          <w:iCs/>
          <w:sz w:val="32"/>
          <w:szCs w:val="32"/>
        </w:rPr>
        <w:t>资产评估报告</w:t>
      </w:r>
      <w:r w:rsidRPr="00875C18">
        <w:rPr>
          <w:rFonts w:ascii="仿宋" w:eastAsia="仿宋" w:hAnsi="仿宋" w:hint="eastAsia"/>
          <w:b/>
          <w:iCs/>
          <w:sz w:val="32"/>
          <w:szCs w:val="32"/>
        </w:rPr>
        <w:t>摘要</w:t>
      </w:r>
      <w:bookmarkEnd w:id="0"/>
    </w:p>
    <w:p w:rsidR="00D30483" w:rsidRPr="00D30483" w:rsidRDefault="00D30483" w:rsidP="00D30483">
      <w:pPr>
        <w:spacing w:line="600" w:lineRule="exact"/>
        <w:jc w:val="center"/>
        <w:rPr>
          <w:rFonts w:ascii="仿宋" w:eastAsia="仿宋" w:hAnsi="仿宋"/>
          <w:b/>
          <w:iCs/>
          <w:sz w:val="32"/>
          <w:szCs w:val="32"/>
        </w:rPr>
      </w:pPr>
    </w:p>
    <w:p w:rsidR="00875C18" w:rsidRPr="007142FA" w:rsidRDefault="00875C18" w:rsidP="00875C18">
      <w:pPr>
        <w:pStyle w:val="a3"/>
        <w:spacing w:line="360" w:lineRule="auto"/>
        <w:ind w:firstLineChars="200" w:firstLine="480"/>
        <w:rPr>
          <w:rFonts w:ascii="Times New Roman"/>
          <w:sz w:val="24"/>
        </w:rPr>
      </w:pPr>
      <w:r>
        <w:rPr>
          <w:rFonts w:ascii="Times New Roman" w:hint="eastAsia"/>
          <w:sz w:val="24"/>
        </w:rPr>
        <w:t>北京中同华资产评估有限公司</w:t>
      </w:r>
      <w:r w:rsidRPr="000A0F22">
        <w:rPr>
          <w:rFonts w:ascii="Times New Roman"/>
          <w:sz w:val="24"/>
        </w:rPr>
        <w:t>（以下简称</w:t>
      </w:r>
      <w:r w:rsidRPr="000A0F22">
        <w:rPr>
          <w:rFonts w:ascii="Times New Roman"/>
          <w:sz w:val="24"/>
        </w:rPr>
        <w:t>“</w:t>
      </w:r>
      <w:r>
        <w:rPr>
          <w:rFonts w:ascii="Times New Roman" w:hint="eastAsia"/>
          <w:sz w:val="24"/>
        </w:rPr>
        <w:t>中同华</w:t>
      </w:r>
      <w:r w:rsidRPr="000A0F22">
        <w:rPr>
          <w:rFonts w:ascii="Times New Roman"/>
          <w:sz w:val="24"/>
        </w:rPr>
        <w:t>”</w:t>
      </w:r>
      <w:r w:rsidRPr="000A0F22">
        <w:rPr>
          <w:rFonts w:ascii="Times New Roman"/>
          <w:sz w:val="24"/>
        </w:rPr>
        <w:t>或我</w:t>
      </w:r>
      <w:r>
        <w:rPr>
          <w:rFonts w:ascii="Times New Roman" w:hint="eastAsia"/>
          <w:sz w:val="24"/>
        </w:rPr>
        <w:t>公司</w:t>
      </w:r>
      <w:r w:rsidRPr="000A0F22">
        <w:rPr>
          <w:rFonts w:ascii="Times New Roman"/>
          <w:sz w:val="24"/>
        </w:rPr>
        <w:t>）接受</w:t>
      </w:r>
      <w:r w:rsidRPr="0053604F">
        <w:rPr>
          <w:rFonts w:hint="eastAsia"/>
          <w:sz w:val="24"/>
        </w:rPr>
        <w:t>贵</w:t>
      </w:r>
      <w:r>
        <w:rPr>
          <w:rFonts w:hint="eastAsia"/>
          <w:sz w:val="24"/>
        </w:rPr>
        <w:t>公司</w:t>
      </w:r>
      <w:r w:rsidRPr="0053604F">
        <w:rPr>
          <w:rFonts w:hint="eastAsia"/>
          <w:sz w:val="24"/>
        </w:rPr>
        <w:t>的</w:t>
      </w:r>
      <w:r>
        <w:rPr>
          <w:rFonts w:hint="eastAsia"/>
          <w:sz w:val="24"/>
        </w:rPr>
        <w:t>共同</w:t>
      </w:r>
      <w:r w:rsidRPr="0053604F">
        <w:rPr>
          <w:rFonts w:hint="eastAsia"/>
          <w:sz w:val="24"/>
        </w:rPr>
        <w:t>委托，根据有关法律、法规和资产评估准则</w:t>
      </w:r>
      <w:r w:rsidRPr="002A28FE">
        <w:rPr>
          <w:rFonts w:hint="eastAsia"/>
          <w:sz w:val="24"/>
        </w:rPr>
        <w:t>、资产评估原则</w:t>
      </w:r>
      <w:r w:rsidRPr="00771636">
        <w:rPr>
          <w:rFonts w:hint="eastAsia"/>
          <w:sz w:val="24"/>
        </w:rPr>
        <w:t>，</w:t>
      </w:r>
      <w:r w:rsidRPr="00F33CA2">
        <w:rPr>
          <w:rFonts w:hint="eastAsia"/>
          <w:sz w:val="24"/>
        </w:rPr>
        <w:t>采用公认的评估方法，按照必要的评估程序，</w:t>
      </w:r>
      <w:r w:rsidRPr="006C673E">
        <w:rPr>
          <w:rFonts w:hint="eastAsia"/>
          <w:sz w:val="24"/>
        </w:rPr>
        <w:t>对</w:t>
      </w:r>
      <w:r w:rsidRPr="00A358CA">
        <w:rPr>
          <w:rFonts w:hint="eastAsia"/>
          <w:sz w:val="24"/>
        </w:rPr>
        <w:t>云南云维集团有限公司</w:t>
      </w:r>
      <w:r w:rsidRPr="006C673E">
        <w:rPr>
          <w:rFonts w:hint="eastAsia"/>
          <w:sz w:val="24"/>
        </w:rPr>
        <w:t>拟股权转让所涉及的富源县十八连</w:t>
      </w:r>
      <w:r w:rsidRPr="007142FA">
        <w:rPr>
          <w:rFonts w:ascii="Times New Roman"/>
          <w:sz w:val="24"/>
        </w:rPr>
        <w:t>山镇</w:t>
      </w:r>
      <w:r>
        <w:rPr>
          <w:rFonts w:ascii="Times New Roman"/>
          <w:sz w:val="24"/>
        </w:rPr>
        <w:t>四角地煤矿</w:t>
      </w:r>
      <w:r w:rsidRPr="007142FA">
        <w:rPr>
          <w:rFonts w:ascii="Times New Roman"/>
          <w:sz w:val="24"/>
        </w:rPr>
        <w:t>有限公司股东全部权益在评估基准日的市场价值进行了评估。现将评估报告摘要如下：</w:t>
      </w:r>
    </w:p>
    <w:p w:rsidR="00875C18" w:rsidRPr="007142FA" w:rsidRDefault="00875C18" w:rsidP="00875C18">
      <w:pPr>
        <w:pStyle w:val="a3"/>
        <w:spacing w:line="360" w:lineRule="auto"/>
        <w:ind w:firstLineChars="200" w:firstLine="480"/>
        <w:rPr>
          <w:rFonts w:ascii="Times New Roman"/>
          <w:sz w:val="24"/>
        </w:rPr>
      </w:pPr>
      <w:r w:rsidRPr="007142FA">
        <w:rPr>
          <w:rFonts w:ascii="Times New Roman"/>
          <w:sz w:val="24"/>
        </w:rPr>
        <w:t>评估目的：为</w:t>
      </w:r>
      <w:r w:rsidRPr="00A358CA">
        <w:rPr>
          <w:rFonts w:ascii="Times New Roman" w:hint="eastAsia"/>
          <w:sz w:val="24"/>
        </w:rPr>
        <w:t>云南云维集团有限公司</w:t>
      </w:r>
      <w:r w:rsidRPr="007142FA">
        <w:rPr>
          <w:rFonts w:ascii="Times New Roman"/>
          <w:sz w:val="24"/>
        </w:rPr>
        <w:t>股权转让行为提供价值参考依据。</w:t>
      </w:r>
    </w:p>
    <w:p w:rsidR="00875C18" w:rsidRPr="007142FA" w:rsidRDefault="00875C18" w:rsidP="00875C18">
      <w:pPr>
        <w:pStyle w:val="a3"/>
        <w:spacing w:line="360" w:lineRule="auto"/>
        <w:ind w:firstLineChars="200" w:firstLine="480"/>
        <w:rPr>
          <w:rFonts w:ascii="Times New Roman"/>
          <w:sz w:val="24"/>
        </w:rPr>
      </w:pPr>
      <w:r w:rsidRPr="007142FA">
        <w:rPr>
          <w:rFonts w:ascii="Times New Roman"/>
          <w:sz w:val="24"/>
        </w:rPr>
        <w:t>评估对象：富源县十八连山镇</w:t>
      </w:r>
      <w:r>
        <w:rPr>
          <w:rFonts w:ascii="Times New Roman"/>
          <w:sz w:val="24"/>
        </w:rPr>
        <w:t>四角地煤矿</w:t>
      </w:r>
      <w:r w:rsidRPr="007142FA">
        <w:rPr>
          <w:rFonts w:ascii="Times New Roman"/>
          <w:sz w:val="24"/>
        </w:rPr>
        <w:t>有限公司股东全部权益</w:t>
      </w:r>
      <w:r>
        <w:rPr>
          <w:rFonts w:ascii="Times New Roman" w:hint="eastAsia"/>
          <w:sz w:val="24"/>
        </w:rPr>
        <w:t>。</w:t>
      </w:r>
    </w:p>
    <w:p w:rsidR="00875C18" w:rsidRPr="007142FA" w:rsidRDefault="00875C18" w:rsidP="00875C18">
      <w:pPr>
        <w:pStyle w:val="a3"/>
        <w:spacing w:line="360" w:lineRule="auto"/>
        <w:ind w:firstLineChars="200" w:firstLine="480"/>
        <w:rPr>
          <w:rFonts w:ascii="Times New Roman"/>
          <w:sz w:val="24"/>
        </w:rPr>
      </w:pPr>
      <w:r w:rsidRPr="007142FA">
        <w:rPr>
          <w:rFonts w:ascii="Times New Roman"/>
          <w:sz w:val="24"/>
        </w:rPr>
        <w:t>评估范围：富源县十八连山镇</w:t>
      </w:r>
      <w:r>
        <w:rPr>
          <w:rFonts w:ascii="Times New Roman"/>
          <w:sz w:val="24"/>
        </w:rPr>
        <w:t>四角地煤矿</w:t>
      </w:r>
      <w:r w:rsidRPr="007142FA">
        <w:rPr>
          <w:rFonts w:ascii="Times New Roman"/>
          <w:sz w:val="24"/>
        </w:rPr>
        <w:t>有限公司的全部资产及负债，包括流动资产、固定资产、在建工程、无形资产和流动负债。</w:t>
      </w:r>
    </w:p>
    <w:p w:rsidR="00875C18" w:rsidRPr="007142FA" w:rsidRDefault="00875C18" w:rsidP="00875C18">
      <w:pPr>
        <w:pStyle w:val="a3"/>
        <w:spacing w:line="360" w:lineRule="auto"/>
        <w:ind w:firstLineChars="200" w:firstLine="480"/>
        <w:rPr>
          <w:rFonts w:ascii="Times New Roman"/>
          <w:sz w:val="24"/>
        </w:rPr>
      </w:pPr>
      <w:r w:rsidRPr="007142FA">
        <w:rPr>
          <w:rFonts w:ascii="Times New Roman"/>
          <w:sz w:val="24"/>
        </w:rPr>
        <w:t>评估基准日：</w:t>
      </w:r>
      <w:r w:rsidRPr="007142FA">
        <w:rPr>
          <w:rFonts w:ascii="Times New Roman"/>
          <w:sz w:val="24"/>
        </w:rPr>
        <w:t>2019</w:t>
      </w:r>
      <w:r w:rsidRPr="007142FA">
        <w:rPr>
          <w:rFonts w:ascii="Times New Roman"/>
          <w:sz w:val="24"/>
        </w:rPr>
        <w:t>年</w:t>
      </w:r>
      <w:r w:rsidRPr="007142FA">
        <w:rPr>
          <w:rFonts w:ascii="Times New Roman"/>
          <w:sz w:val="24"/>
        </w:rPr>
        <w:t>6</w:t>
      </w:r>
      <w:r w:rsidRPr="007142FA">
        <w:rPr>
          <w:rFonts w:ascii="Times New Roman"/>
          <w:sz w:val="24"/>
        </w:rPr>
        <w:t>月</w:t>
      </w:r>
      <w:r w:rsidRPr="007142FA">
        <w:rPr>
          <w:rFonts w:ascii="Times New Roman"/>
          <w:sz w:val="24"/>
        </w:rPr>
        <w:t>30</w:t>
      </w:r>
      <w:r w:rsidRPr="007142FA">
        <w:rPr>
          <w:rFonts w:ascii="Times New Roman"/>
          <w:sz w:val="24"/>
        </w:rPr>
        <w:t>日。</w:t>
      </w:r>
    </w:p>
    <w:p w:rsidR="00875C18" w:rsidRPr="006C673E" w:rsidRDefault="00875C18" w:rsidP="00875C18">
      <w:pPr>
        <w:pStyle w:val="a3"/>
        <w:spacing w:line="360" w:lineRule="auto"/>
        <w:ind w:firstLineChars="200" w:firstLine="480"/>
        <w:rPr>
          <w:sz w:val="24"/>
        </w:rPr>
      </w:pPr>
      <w:r w:rsidRPr="006C673E">
        <w:rPr>
          <w:sz w:val="24"/>
        </w:rPr>
        <w:t>价值类型：市场价值</w:t>
      </w:r>
      <w:r w:rsidRPr="006C673E">
        <w:rPr>
          <w:rFonts w:hint="eastAsia"/>
          <w:sz w:val="24"/>
        </w:rPr>
        <w:t>。</w:t>
      </w:r>
    </w:p>
    <w:p w:rsidR="00875C18" w:rsidRPr="006C673E" w:rsidRDefault="00875C18" w:rsidP="00875C18">
      <w:pPr>
        <w:pStyle w:val="a3"/>
        <w:spacing w:line="360" w:lineRule="auto"/>
        <w:ind w:firstLineChars="200" w:firstLine="480"/>
        <w:rPr>
          <w:rFonts w:hint="eastAsia"/>
          <w:sz w:val="24"/>
        </w:rPr>
      </w:pPr>
      <w:r w:rsidRPr="006C673E">
        <w:rPr>
          <w:sz w:val="24"/>
        </w:rPr>
        <w:t>评估方法：</w:t>
      </w:r>
      <w:r w:rsidRPr="006C673E">
        <w:rPr>
          <w:rFonts w:hint="eastAsia"/>
          <w:sz w:val="24"/>
        </w:rPr>
        <w:t>资产</w:t>
      </w:r>
      <w:r w:rsidRPr="006C673E">
        <w:rPr>
          <w:sz w:val="24"/>
        </w:rPr>
        <w:t>基础法</w:t>
      </w:r>
      <w:r>
        <w:rPr>
          <w:rFonts w:hint="eastAsia"/>
          <w:sz w:val="24"/>
        </w:rPr>
        <w:t>和收益法</w:t>
      </w:r>
      <w:r w:rsidRPr="006C673E">
        <w:rPr>
          <w:rFonts w:hint="eastAsia"/>
          <w:sz w:val="24"/>
        </w:rPr>
        <w:t>。</w:t>
      </w:r>
    </w:p>
    <w:p w:rsidR="00875C18" w:rsidRPr="00F33CA2" w:rsidRDefault="00875C18" w:rsidP="00875C18">
      <w:pPr>
        <w:pStyle w:val="a3"/>
        <w:spacing w:line="360" w:lineRule="auto"/>
        <w:ind w:firstLineChars="200" w:firstLine="480"/>
        <w:rPr>
          <w:sz w:val="24"/>
        </w:rPr>
      </w:pPr>
      <w:r w:rsidRPr="006C673E">
        <w:rPr>
          <w:sz w:val="24"/>
        </w:rPr>
        <w:t>评估结论：本资产评估报告选用</w:t>
      </w:r>
      <w:r w:rsidRPr="006C673E">
        <w:rPr>
          <w:rFonts w:hint="eastAsia"/>
          <w:sz w:val="24"/>
        </w:rPr>
        <w:t>资产</w:t>
      </w:r>
      <w:r w:rsidRPr="006C673E">
        <w:rPr>
          <w:sz w:val="24"/>
        </w:rPr>
        <w:t>基础法评估结果作为评估结论。具体结论如下：</w:t>
      </w:r>
    </w:p>
    <w:p w:rsidR="00875C18" w:rsidRPr="000A0F22" w:rsidRDefault="00875C18" w:rsidP="00875C18">
      <w:pPr>
        <w:spacing w:before="120" w:after="120"/>
        <w:jc w:val="center"/>
        <w:rPr>
          <w:sz w:val="28"/>
        </w:rPr>
      </w:pPr>
      <w:r w:rsidRPr="000A0F22">
        <w:rPr>
          <w:b/>
          <w:bCs/>
          <w:sz w:val="24"/>
        </w:rPr>
        <w:t>资产评估结果汇总表</w:t>
      </w:r>
    </w:p>
    <w:p w:rsidR="00875C18" w:rsidRPr="000A0F22" w:rsidRDefault="00875C18" w:rsidP="00875C18">
      <w:pPr>
        <w:ind w:right="210"/>
        <w:jc w:val="right"/>
        <w:rPr>
          <w:szCs w:val="21"/>
        </w:rPr>
      </w:pPr>
      <w:r w:rsidRPr="000A0F22">
        <w:rPr>
          <w:szCs w:val="21"/>
        </w:rPr>
        <w:t>金额单位：人民币万元</w:t>
      </w:r>
    </w:p>
    <w:tbl>
      <w:tblPr>
        <w:tblW w:w="5000" w:type="pct"/>
        <w:tblLook w:val="04A0"/>
      </w:tblPr>
      <w:tblGrid>
        <w:gridCol w:w="2416"/>
        <w:gridCol w:w="416"/>
        <w:gridCol w:w="1487"/>
        <w:gridCol w:w="1488"/>
        <w:gridCol w:w="1488"/>
        <w:gridCol w:w="1233"/>
      </w:tblGrid>
      <w:tr w:rsidR="00875C18" w:rsidRPr="003322E4" w:rsidTr="00745E7F">
        <w:trPr>
          <w:trHeight w:val="340"/>
          <w:tblHeader/>
        </w:trPr>
        <w:tc>
          <w:tcPr>
            <w:tcW w:w="155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项</w:t>
            </w:r>
            <w:r w:rsidRPr="003322E4">
              <w:rPr>
                <w:b/>
                <w:bCs/>
                <w:kern w:val="0"/>
                <w:sz w:val="20"/>
                <w:szCs w:val="20"/>
              </w:rPr>
              <w:t xml:space="preserve">      </w:t>
            </w:r>
            <w:r w:rsidRPr="003322E4">
              <w:rPr>
                <w:b/>
                <w:bCs/>
                <w:kern w:val="0"/>
                <w:sz w:val="20"/>
                <w:szCs w:val="20"/>
              </w:rPr>
              <w:t>目</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账面净值</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评估价值</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增减值</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增值率</w:t>
            </w:r>
            <w:r w:rsidRPr="003322E4">
              <w:rPr>
                <w:b/>
                <w:bCs/>
                <w:kern w:val="0"/>
                <w:sz w:val="20"/>
                <w:szCs w:val="20"/>
              </w:rPr>
              <w:t>%</w:t>
            </w:r>
          </w:p>
        </w:tc>
      </w:tr>
      <w:tr w:rsidR="00875C18" w:rsidRPr="003322E4" w:rsidTr="00745E7F">
        <w:trPr>
          <w:trHeight w:val="340"/>
          <w:tblHeader/>
        </w:trPr>
        <w:tc>
          <w:tcPr>
            <w:tcW w:w="1554" w:type="pct"/>
            <w:gridSpan w:val="2"/>
            <w:vMerge/>
            <w:tcBorders>
              <w:top w:val="single" w:sz="4" w:space="0" w:color="auto"/>
              <w:left w:val="single" w:sz="4" w:space="0" w:color="auto"/>
              <w:bottom w:val="single" w:sz="4" w:space="0" w:color="000000"/>
              <w:right w:val="single" w:sz="4" w:space="0" w:color="000000"/>
            </w:tcBorders>
            <w:vAlign w:val="center"/>
            <w:hideMark/>
          </w:tcPr>
          <w:p w:rsidR="00875C18" w:rsidRPr="003322E4" w:rsidRDefault="00875C18" w:rsidP="00745E7F">
            <w:pPr>
              <w:widowControl/>
              <w:jc w:val="left"/>
              <w:rPr>
                <w:b/>
                <w:bCs/>
                <w:kern w:val="0"/>
                <w:sz w:val="20"/>
                <w:szCs w:val="20"/>
              </w:rPr>
            </w:pPr>
          </w:p>
        </w:tc>
        <w:tc>
          <w:tcPr>
            <w:tcW w:w="915" w:type="pct"/>
            <w:tcBorders>
              <w:top w:val="nil"/>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A</w:t>
            </w:r>
          </w:p>
        </w:tc>
        <w:tc>
          <w:tcPr>
            <w:tcW w:w="916" w:type="pct"/>
            <w:tcBorders>
              <w:top w:val="nil"/>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B</w:t>
            </w:r>
          </w:p>
        </w:tc>
        <w:tc>
          <w:tcPr>
            <w:tcW w:w="916" w:type="pct"/>
            <w:tcBorders>
              <w:top w:val="nil"/>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C=B-A</w:t>
            </w:r>
          </w:p>
        </w:tc>
        <w:tc>
          <w:tcPr>
            <w:tcW w:w="699" w:type="pct"/>
            <w:tcBorders>
              <w:top w:val="nil"/>
              <w:left w:val="nil"/>
              <w:bottom w:val="single" w:sz="4" w:space="0" w:color="auto"/>
              <w:right w:val="single" w:sz="4" w:space="0" w:color="auto"/>
            </w:tcBorders>
            <w:shd w:val="clear" w:color="auto" w:fill="auto"/>
            <w:vAlign w:val="center"/>
            <w:hideMark/>
          </w:tcPr>
          <w:p w:rsidR="00875C18" w:rsidRPr="003322E4" w:rsidRDefault="00875C18" w:rsidP="00745E7F">
            <w:pPr>
              <w:widowControl/>
              <w:jc w:val="center"/>
              <w:rPr>
                <w:b/>
                <w:bCs/>
                <w:kern w:val="0"/>
                <w:sz w:val="20"/>
                <w:szCs w:val="20"/>
              </w:rPr>
            </w:pPr>
            <w:r w:rsidRPr="003322E4">
              <w:rPr>
                <w:b/>
                <w:bCs/>
                <w:kern w:val="0"/>
                <w:sz w:val="20"/>
                <w:szCs w:val="20"/>
              </w:rPr>
              <w:t>D=C/A×100</w:t>
            </w:r>
          </w:p>
        </w:tc>
      </w:tr>
      <w:tr w:rsidR="00875C18" w:rsidRPr="003322E4" w:rsidTr="00745E7F">
        <w:trPr>
          <w:trHeight w:val="340"/>
        </w:trPr>
        <w:tc>
          <w:tcPr>
            <w:tcW w:w="1326"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流动资产</w:t>
            </w:r>
          </w:p>
        </w:tc>
        <w:tc>
          <w:tcPr>
            <w:tcW w:w="228" w:type="pct"/>
            <w:tcBorders>
              <w:top w:val="nil"/>
              <w:left w:val="nil"/>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1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2,672.91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2,678.31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5.40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0.20 </w:t>
            </w:r>
          </w:p>
        </w:tc>
      </w:tr>
      <w:tr w:rsidR="00875C18" w:rsidRPr="003322E4" w:rsidTr="00745E7F">
        <w:trPr>
          <w:trHeight w:val="340"/>
        </w:trPr>
        <w:tc>
          <w:tcPr>
            <w:tcW w:w="1326"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非流动资产</w:t>
            </w:r>
          </w:p>
        </w:tc>
        <w:tc>
          <w:tcPr>
            <w:tcW w:w="228" w:type="pct"/>
            <w:tcBorders>
              <w:top w:val="nil"/>
              <w:left w:val="nil"/>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2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8,701.06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36,598.92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27,897.86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320.63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其中：长期股权投资</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3 </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843.06 </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441.27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-401.79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-47.66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 xml:space="preserve">　　　投资性房地产</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4 </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   </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 xml:space="preserve">　　　固定资产</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5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4,853.77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8,778.15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3,924.38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80.85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 xml:space="preserve">　　　在建工程</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6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937.95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1,059.85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121.90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13.00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 xml:space="preserve">　　　无形资产</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7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1,992.11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26,245.48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24,253.37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1,217.47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 xml:space="preserve">　　　其中：土地使用权</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8 </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   </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415.45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415.45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 xml:space="preserve">　　　其他非流动资产</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9 </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74.17 </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74.17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center"/>
              <w:rPr>
                <w:b/>
                <w:bCs/>
                <w:kern w:val="0"/>
                <w:sz w:val="20"/>
                <w:szCs w:val="20"/>
              </w:rPr>
            </w:pPr>
            <w:r w:rsidRPr="003322E4">
              <w:rPr>
                <w:b/>
                <w:bCs/>
                <w:kern w:val="0"/>
                <w:sz w:val="20"/>
                <w:szCs w:val="20"/>
              </w:rPr>
              <w:lastRenderedPageBreak/>
              <w:t>资产总计</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b/>
                <w:bCs/>
                <w:kern w:val="0"/>
                <w:sz w:val="20"/>
                <w:szCs w:val="20"/>
              </w:rPr>
            </w:pPr>
            <w:r w:rsidRPr="003322E4">
              <w:rPr>
                <w:b/>
                <w:bCs/>
                <w:kern w:val="0"/>
                <w:sz w:val="20"/>
                <w:szCs w:val="20"/>
              </w:rPr>
              <w:t xml:space="preserve">10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b/>
                <w:bCs/>
                <w:sz w:val="20"/>
                <w:szCs w:val="20"/>
              </w:rPr>
            </w:pPr>
            <w:r w:rsidRPr="00CD0414">
              <w:rPr>
                <w:b/>
                <w:bCs/>
                <w:sz w:val="20"/>
                <w:szCs w:val="20"/>
              </w:rPr>
              <w:t xml:space="preserve"> 11,373.97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39,277.23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27,903.26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245.33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流动负债</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11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15,792.31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15,792.31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left"/>
              <w:rPr>
                <w:kern w:val="0"/>
                <w:sz w:val="20"/>
                <w:szCs w:val="20"/>
              </w:rPr>
            </w:pPr>
            <w:r w:rsidRPr="003322E4">
              <w:rPr>
                <w:kern w:val="0"/>
                <w:sz w:val="20"/>
                <w:szCs w:val="20"/>
              </w:rPr>
              <w:t>非流动负债</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kern w:val="0"/>
                <w:sz w:val="20"/>
                <w:szCs w:val="20"/>
              </w:rPr>
            </w:pPr>
            <w:r w:rsidRPr="003322E4">
              <w:rPr>
                <w:kern w:val="0"/>
                <w:sz w:val="20"/>
                <w:szCs w:val="20"/>
              </w:rPr>
              <w:t xml:space="preserve">12 </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CD0414" w:rsidRDefault="00875C18" w:rsidP="00745E7F">
            <w:pPr>
              <w:jc w:val="right"/>
              <w:rPr>
                <w:sz w:val="20"/>
                <w:szCs w:val="20"/>
              </w:rPr>
            </w:pPr>
            <w:r w:rsidRPr="00CD0414">
              <w:rPr>
                <w:sz w:val="20"/>
                <w:szCs w:val="20"/>
              </w:rPr>
              <w:t xml:space="preserve"> -   </w:t>
            </w:r>
          </w:p>
        </w:tc>
        <w:tc>
          <w:tcPr>
            <w:tcW w:w="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sz w:val="20"/>
                <w:szCs w:val="20"/>
              </w:rPr>
            </w:pPr>
            <w:r w:rsidRPr="00EE0356">
              <w:rPr>
                <w:sz w:val="20"/>
                <w:szCs w:val="20"/>
              </w:rPr>
              <w:t xml:space="preserve">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center"/>
              <w:rPr>
                <w:b/>
                <w:bCs/>
                <w:kern w:val="0"/>
                <w:sz w:val="20"/>
                <w:szCs w:val="20"/>
              </w:rPr>
            </w:pPr>
            <w:r w:rsidRPr="003322E4">
              <w:rPr>
                <w:b/>
                <w:bCs/>
                <w:kern w:val="0"/>
                <w:sz w:val="20"/>
                <w:szCs w:val="20"/>
              </w:rPr>
              <w:t>负债总计</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b/>
                <w:bCs/>
                <w:kern w:val="0"/>
                <w:sz w:val="20"/>
                <w:szCs w:val="20"/>
              </w:rPr>
            </w:pPr>
            <w:r w:rsidRPr="003322E4">
              <w:rPr>
                <w:b/>
                <w:bCs/>
                <w:kern w:val="0"/>
                <w:sz w:val="20"/>
                <w:szCs w:val="20"/>
              </w:rPr>
              <w:t xml:space="preserve">13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b/>
                <w:bCs/>
                <w:sz w:val="20"/>
                <w:szCs w:val="20"/>
              </w:rPr>
            </w:pPr>
            <w:r w:rsidRPr="00CD0414">
              <w:rPr>
                <w:b/>
                <w:bCs/>
                <w:sz w:val="20"/>
                <w:szCs w:val="20"/>
              </w:rPr>
              <w:t xml:space="preserve"> 15,792.31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15,792.31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   </w:t>
            </w:r>
          </w:p>
        </w:tc>
      </w:tr>
      <w:tr w:rsidR="00875C18" w:rsidRPr="003322E4" w:rsidTr="00745E7F">
        <w:trPr>
          <w:trHeight w:val="340"/>
        </w:trPr>
        <w:tc>
          <w:tcPr>
            <w:tcW w:w="1326" w:type="pct"/>
            <w:tcBorders>
              <w:top w:val="nil"/>
              <w:left w:val="single" w:sz="4" w:space="0" w:color="auto"/>
              <w:bottom w:val="single" w:sz="4" w:space="0" w:color="auto"/>
              <w:right w:val="nil"/>
            </w:tcBorders>
            <w:shd w:val="clear" w:color="auto" w:fill="auto"/>
            <w:noWrap/>
            <w:vAlign w:val="center"/>
            <w:hideMark/>
          </w:tcPr>
          <w:p w:rsidR="00875C18" w:rsidRPr="003322E4" w:rsidRDefault="00875C18" w:rsidP="00745E7F">
            <w:pPr>
              <w:widowControl/>
              <w:jc w:val="center"/>
              <w:rPr>
                <w:b/>
                <w:bCs/>
                <w:kern w:val="0"/>
                <w:sz w:val="20"/>
                <w:szCs w:val="20"/>
              </w:rPr>
            </w:pPr>
            <w:r w:rsidRPr="003322E4">
              <w:rPr>
                <w:b/>
                <w:bCs/>
                <w:kern w:val="0"/>
                <w:sz w:val="20"/>
                <w:szCs w:val="20"/>
              </w:rPr>
              <w:t>净资产</w:t>
            </w:r>
            <w:r w:rsidRPr="003322E4">
              <w:rPr>
                <w:b/>
                <w:bCs/>
                <w:kern w:val="0"/>
                <w:sz w:val="20"/>
                <w:szCs w:val="20"/>
              </w:rPr>
              <w:t>(</w:t>
            </w:r>
            <w:r w:rsidRPr="003322E4">
              <w:rPr>
                <w:b/>
                <w:bCs/>
                <w:kern w:val="0"/>
                <w:sz w:val="20"/>
                <w:szCs w:val="20"/>
              </w:rPr>
              <w:t>所有者权益</w:t>
            </w:r>
            <w:r w:rsidRPr="003322E4">
              <w:rPr>
                <w:b/>
                <w:bCs/>
                <w:kern w:val="0"/>
                <w:sz w:val="20"/>
                <w:szCs w:val="20"/>
              </w:rPr>
              <w:t>)</w:t>
            </w:r>
          </w:p>
        </w:tc>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875C18" w:rsidRPr="003322E4" w:rsidRDefault="00875C18" w:rsidP="00745E7F">
            <w:pPr>
              <w:widowControl/>
              <w:jc w:val="center"/>
              <w:rPr>
                <w:b/>
                <w:bCs/>
                <w:kern w:val="0"/>
                <w:sz w:val="20"/>
                <w:szCs w:val="20"/>
              </w:rPr>
            </w:pPr>
            <w:r w:rsidRPr="003322E4">
              <w:rPr>
                <w:b/>
                <w:bCs/>
                <w:kern w:val="0"/>
                <w:sz w:val="20"/>
                <w:szCs w:val="20"/>
              </w:rPr>
              <w:t xml:space="preserve">14 </w:t>
            </w:r>
          </w:p>
        </w:tc>
        <w:tc>
          <w:tcPr>
            <w:tcW w:w="915" w:type="pct"/>
            <w:tcBorders>
              <w:top w:val="nil"/>
              <w:left w:val="nil"/>
              <w:bottom w:val="single" w:sz="4" w:space="0" w:color="auto"/>
              <w:right w:val="single" w:sz="4" w:space="0" w:color="auto"/>
            </w:tcBorders>
            <w:shd w:val="clear" w:color="auto" w:fill="auto"/>
            <w:noWrap/>
            <w:vAlign w:val="center"/>
            <w:hideMark/>
          </w:tcPr>
          <w:p w:rsidR="00875C18" w:rsidRPr="00CD0414" w:rsidRDefault="00875C18" w:rsidP="00745E7F">
            <w:pPr>
              <w:jc w:val="right"/>
              <w:rPr>
                <w:b/>
                <w:bCs/>
                <w:sz w:val="20"/>
                <w:szCs w:val="20"/>
              </w:rPr>
            </w:pPr>
            <w:r w:rsidRPr="00CD0414">
              <w:rPr>
                <w:b/>
                <w:bCs/>
                <w:sz w:val="20"/>
                <w:szCs w:val="20"/>
              </w:rPr>
              <w:t xml:space="preserve"> -4,418.34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23,484.92 </w:t>
            </w:r>
          </w:p>
        </w:tc>
        <w:tc>
          <w:tcPr>
            <w:tcW w:w="916"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27,903.26 </w:t>
            </w:r>
          </w:p>
        </w:tc>
        <w:tc>
          <w:tcPr>
            <w:tcW w:w="699" w:type="pct"/>
            <w:tcBorders>
              <w:top w:val="nil"/>
              <w:left w:val="nil"/>
              <w:bottom w:val="single" w:sz="4" w:space="0" w:color="auto"/>
              <w:right w:val="single" w:sz="4" w:space="0" w:color="auto"/>
            </w:tcBorders>
            <w:shd w:val="clear" w:color="auto" w:fill="auto"/>
            <w:noWrap/>
            <w:vAlign w:val="center"/>
            <w:hideMark/>
          </w:tcPr>
          <w:p w:rsidR="00875C18" w:rsidRPr="00EE0356" w:rsidRDefault="00875C18" w:rsidP="00745E7F">
            <w:pPr>
              <w:jc w:val="right"/>
              <w:rPr>
                <w:b/>
                <w:bCs/>
                <w:sz w:val="20"/>
                <w:szCs w:val="20"/>
              </w:rPr>
            </w:pPr>
            <w:r w:rsidRPr="00EE0356">
              <w:rPr>
                <w:b/>
                <w:bCs/>
                <w:sz w:val="20"/>
                <w:szCs w:val="20"/>
              </w:rPr>
              <w:t xml:space="preserve"> 631.53 </w:t>
            </w:r>
          </w:p>
        </w:tc>
      </w:tr>
    </w:tbl>
    <w:p w:rsidR="00875C18" w:rsidRDefault="00875C18" w:rsidP="00875C18">
      <w:pPr>
        <w:pStyle w:val="a3"/>
        <w:spacing w:beforeLines="50" w:line="360" w:lineRule="auto"/>
        <w:ind w:firstLineChars="200" w:firstLine="480"/>
        <w:rPr>
          <w:rFonts w:hAnsi="宋体"/>
          <w:sz w:val="24"/>
        </w:rPr>
      </w:pPr>
      <w:r w:rsidRPr="003810F0">
        <w:rPr>
          <w:rFonts w:hAnsi="宋体"/>
          <w:sz w:val="24"/>
        </w:rPr>
        <w:t>本</w:t>
      </w:r>
      <w:r w:rsidRPr="00565925">
        <w:rPr>
          <w:rFonts w:hAnsi="宋体" w:hint="eastAsia"/>
          <w:sz w:val="24"/>
        </w:rPr>
        <w:t>资产评估报告仅为资产评估报告中描述的经济行为提供价值参考依据，评估结论的使用有效期原则上</w:t>
      </w:r>
      <w:r w:rsidRPr="00565925">
        <w:rPr>
          <w:rFonts w:hAnsi="宋体"/>
          <w:sz w:val="24"/>
        </w:rPr>
        <w:t>为</w:t>
      </w:r>
      <w:r w:rsidRPr="00565925">
        <w:rPr>
          <w:rFonts w:hAnsi="宋体" w:hint="eastAsia"/>
          <w:sz w:val="24"/>
        </w:rPr>
        <w:t>自</w:t>
      </w:r>
      <w:r w:rsidRPr="00565925">
        <w:rPr>
          <w:rFonts w:hAnsi="宋体"/>
          <w:sz w:val="24"/>
        </w:rPr>
        <w:t>评估基准日</w:t>
      </w:r>
      <w:r w:rsidRPr="00565925">
        <w:rPr>
          <w:rFonts w:hAnsi="宋体" w:hint="eastAsia"/>
          <w:sz w:val="24"/>
        </w:rPr>
        <w:t>起</w:t>
      </w:r>
      <w:r w:rsidRPr="00565925">
        <w:rPr>
          <w:rFonts w:hAnsi="宋体"/>
          <w:sz w:val="24"/>
        </w:rPr>
        <w:t>一年</w:t>
      </w:r>
      <w:r w:rsidRPr="003810F0">
        <w:rPr>
          <w:rFonts w:hAnsi="宋体"/>
          <w:sz w:val="24"/>
        </w:rPr>
        <w:t>。</w:t>
      </w:r>
      <w:r w:rsidRPr="00C40A0A">
        <w:rPr>
          <w:rFonts w:hAnsi="宋体" w:hint="eastAsia"/>
          <w:sz w:val="24"/>
        </w:rPr>
        <w:t>如果资产状况、市场状况与</w:t>
      </w:r>
      <w:r>
        <w:rPr>
          <w:rFonts w:hAnsi="宋体" w:hint="eastAsia"/>
          <w:sz w:val="24"/>
        </w:rPr>
        <w:t>评估</w:t>
      </w:r>
      <w:r w:rsidRPr="00C40A0A">
        <w:rPr>
          <w:rFonts w:hAnsi="宋体" w:hint="eastAsia"/>
          <w:sz w:val="24"/>
        </w:rPr>
        <w:t>基准日相关状况相比发生重大变化，委托方应当委托评估机构执行评估更新业务或重新评估。</w:t>
      </w:r>
    </w:p>
    <w:p w:rsidR="00875C18" w:rsidRDefault="00875C18" w:rsidP="00875C18">
      <w:pPr>
        <w:pStyle w:val="a3"/>
        <w:spacing w:line="360" w:lineRule="auto"/>
        <w:ind w:firstLineChars="200" w:firstLine="482"/>
        <w:rPr>
          <w:rFonts w:ascii="Arial Narrow" w:hAnsi="Arial Narrow"/>
          <w:b/>
          <w:sz w:val="24"/>
          <w:szCs w:val="24"/>
        </w:rPr>
      </w:pPr>
      <w:r w:rsidRPr="00463524">
        <w:rPr>
          <w:rFonts w:ascii="Arial Narrow" w:hAnsi="Arial Narrow" w:hint="eastAsia"/>
          <w:b/>
          <w:sz w:val="24"/>
          <w:szCs w:val="24"/>
        </w:rPr>
        <w:t>重大特别事项说明：</w:t>
      </w:r>
    </w:p>
    <w:p w:rsidR="00875C18" w:rsidRDefault="00875C18" w:rsidP="00875C18">
      <w:pPr>
        <w:spacing w:line="360" w:lineRule="auto"/>
        <w:ind w:firstLineChars="200" w:firstLine="480"/>
        <w:rPr>
          <w:sz w:val="24"/>
        </w:rPr>
      </w:pPr>
      <w:r>
        <w:rPr>
          <w:rFonts w:hint="eastAsia"/>
          <w:sz w:val="24"/>
        </w:rPr>
        <w:t>1</w:t>
      </w:r>
      <w:r>
        <w:rPr>
          <w:rFonts w:hint="eastAsia"/>
          <w:sz w:val="24"/>
        </w:rPr>
        <w:t>、</w:t>
      </w:r>
      <w:r w:rsidRPr="00A358CA">
        <w:rPr>
          <w:rFonts w:hint="eastAsia"/>
          <w:sz w:val="24"/>
        </w:rPr>
        <w:t>房屋建筑物中共有</w:t>
      </w:r>
      <w:r w:rsidRPr="00A358CA">
        <w:rPr>
          <w:rFonts w:hint="eastAsia"/>
          <w:sz w:val="24"/>
        </w:rPr>
        <w:t>18</w:t>
      </w:r>
      <w:r w:rsidRPr="00A358CA">
        <w:rPr>
          <w:rFonts w:hint="eastAsia"/>
          <w:sz w:val="24"/>
        </w:rPr>
        <w:t>项房屋，建筑面积合计</w:t>
      </w:r>
      <w:r w:rsidRPr="00A358CA">
        <w:rPr>
          <w:rFonts w:hint="eastAsia"/>
          <w:sz w:val="24"/>
        </w:rPr>
        <w:t>5,863.34</w:t>
      </w:r>
      <w:r w:rsidRPr="00A358CA">
        <w:rPr>
          <w:rFonts w:hint="eastAsia"/>
          <w:sz w:val="24"/>
        </w:rPr>
        <w:t>㎡，账面价值</w:t>
      </w:r>
      <w:r w:rsidRPr="00A358CA">
        <w:rPr>
          <w:rFonts w:hint="eastAsia"/>
          <w:sz w:val="24"/>
        </w:rPr>
        <w:t>18,000,411.16</w:t>
      </w:r>
      <w:r w:rsidRPr="00A358CA">
        <w:rPr>
          <w:rFonts w:hint="eastAsia"/>
          <w:sz w:val="24"/>
        </w:rPr>
        <w:t>元，尚未办理不动产登记。</w:t>
      </w:r>
      <w:r w:rsidRPr="006C673E">
        <w:rPr>
          <w:rFonts w:hint="eastAsia"/>
          <w:sz w:val="24"/>
        </w:rPr>
        <w:t>被评估单位提供了工程建设的批准文件、工程预决算等权属证明资料，证明上述无证房屋确实为被评估单位所有，并承诺如果上述房屋产权出现问题愿承担相应的法律责任。上述房屋的建筑面积主要依据被评估单位提供的图纸、施工合同、预决算书等资料，并结合评估人员现场勘查确定。</w:t>
      </w:r>
    </w:p>
    <w:p w:rsidR="00875C18" w:rsidRDefault="00875C18" w:rsidP="00875C18">
      <w:pPr>
        <w:spacing w:line="360" w:lineRule="auto"/>
        <w:ind w:firstLineChars="200" w:firstLine="480"/>
        <w:rPr>
          <w:sz w:val="24"/>
        </w:rPr>
      </w:pPr>
      <w:r>
        <w:rPr>
          <w:rFonts w:hint="eastAsia"/>
          <w:sz w:val="24"/>
        </w:rPr>
        <w:t>2</w:t>
      </w:r>
      <w:r>
        <w:rPr>
          <w:rFonts w:hint="eastAsia"/>
          <w:sz w:val="24"/>
        </w:rPr>
        <w:t>、</w:t>
      </w:r>
      <w:r w:rsidRPr="008F2C8E">
        <w:rPr>
          <w:rFonts w:hint="eastAsia"/>
          <w:sz w:val="24"/>
        </w:rPr>
        <w:t>四角地煤矿《采矿许可证》登记的矿区面积为</w:t>
      </w:r>
      <w:r w:rsidRPr="008F2C8E">
        <w:rPr>
          <w:rFonts w:hint="eastAsia"/>
          <w:sz w:val="24"/>
        </w:rPr>
        <w:t>1.4699</w:t>
      </w:r>
      <w:r w:rsidRPr="008F2C8E">
        <w:rPr>
          <w:rFonts w:hint="eastAsia"/>
          <w:sz w:val="24"/>
        </w:rPr>
        <w:t>平方米公里，开采标高</w:t>
      </w:r>
      <w:r w:rsidRPr="008F2C8E">
        <w:rPr>
          <w:rFonts w:hint="eastAsia"/>
          <w:sz w:val="24"/>
        </w:rPr>
        <w:t>2100</w:t>
      </w:r>
      <w:r w:rsidRPr="008F2C8E">
        <w:rPr>
          <w:rFonts w:hint="eastAsia"/>
          <w:sz w:val="24"/>
        </w:rPr>
        <w:t>米至</w:t>
      </w:r>
      <w:r w:rsidRPr="008F2C8E">
        <w:rPr>
          <w:rFonts w:hint="eastAsia"/>
          <w:sz w:val="24"/>
        </w:rPr>
        <w:t>1950</w:t>
      </w:r>
      <w:r w:rsidRPr="008F2C8E">
        <w:rPr>
          <w:rFonts w:hint="eastAsia"/>
          <w:sz w:val="24"/>
        </w:rPr>
        <w:t>米。根据《云南省自然资源厅关于富源县十八连山镇四角地煤矿有限公司四角地煤矿划定矿区范围批复》（云自然资矿管函〔</w:t>
      </w:r>
      <w:r w:rsidRPr="008F2C8E">
        <w:rPr>
          <w:rFonts w:hint="eastAsia"/>
          <w:sz w:val="24"/>
        </w:rPr>
        <w:t>2019</w:t>
      </w:r>
      <w:r w:rsidRPr="008F2C8E">
        <w:rPr>
          <w:rFonts w:hint="eastAsia"/>
          <w:sz w:val="24"/>
        </w:rPr>
        <w:t>〕第</w:t>
      </w:r>
      <w:r w:rsidRPr="008F2C8E">
        <w:rPr>
          <w:rFonts w:hint="eastAsia"/>
          <w:sz w:val="24"/>
        </w:rPr>
        <w:t>21</w:t>
      </w:r>
      <w:r w:rsidRPr="008F2C8E">
        <w:rPr>
          <w:rFonts w:hint="eastAsia"/>
          <w:sz w:val="24"/>
        </w:rPr>
        <w:t>号），四角地煤矿在现《采矿许可证》平面范围内将开采标高变更为</w:t>
      </w:r>
      <w:r w:rsidRPr="008F2C8E">
        <w:rPr>
          <w:rFonts w:hint="eastAsia"/>
          <w:sz w:val="24"/>
        </w:rPr>
        <w:t>2100</w:t>
      </w:r>
      <w:r w:rsidRPr="008F2C8E">
        <w:rPr>
          <w:rFonts w:hint="eastAsia"/>
          <w:sz w:val="24"/>
        </w:rPr>
        <w:t>米至</w:t>
      </w:r>
      <w:r w:rsidRPr="008F2C8E">
        <w:rPr>
          <w:rFonts w:hint="eastAsia"/>
          <w:sz w:val="24"/>
        </w:rPr>
        <w:t>1800</w:t>
      </w:r>
      <w:r w:rsidRPr="008F2C8E">
        <w:rPr>
          <w:rFonts w:hint="eastAsia"/>
          <w:sz w:val="24"/>
        </w:rPr>
        <w:t>米，企业正在办理扩大矿区范围的变更登记，本次</w:t>
      </w:r>
      <w:r>
        <w:rPr>
          <w:rFonts w:hint="eastAsia"/>
          <w:sz w:val="24"/>
        </w:rPr>
        <w:t>采矿权评估范围</w:t>
      </w:r>
      <w:r w:rsidRPr="008F2C8E">
        <w:rPr>
          <w:rFonts w:hint="eastAsia"/>
          <w:sz w:val="24"/>
        </w:rPr>
        <w:t>为四角地煤矿扩大后的矿区范围。</w:t>
      </w:r>
    </w:p>
    <w:p w:rsidR="00875C18" w:rsidRPr="008F2C8E" w:rsidRDefault="00875C18" w:rsidP="00875C18">
      <w:pPr>
        <w:spacing w:line="360" w:lineRule="auto"/>
        <w:ind w:firstLineChars="200" w:firstLine="480"/>
        <w:rPr>
          <w:rFonts w:hint="eastAsia"/>
          <w:sz w:val="24"/>
        </w:rPr>
      </w:pPr>
      <w:r>
        <w:rPr>
          <w:rFonts w:hint="eastAsia"/>
          <w:sz w:val="24"/>
        </w:rPr>
        <w:t>3</w:t>
      </w:r>
      <w:r>
        <w:rPr>
          <w:rFonts w:hint="eastAsia"/>
          <w:sz w:val="24"/>
        </w:rPr>
        <w:t>、根</w:t>
      </w:r>
      <w:r w:rsidRPr="008F2C8E">
        <w:rPr>
          <w:rFonts w:hint="eastAsia"/>
          <w:sz w:val="24"/>
        </w:rPr>
        <w:t>据《矿业权价款缴纳通知书》（云国土资财矿价〔</w:t>
      </w:r>
      <w:r w:rsidRPr="008F2C8E">
        <w:rPr>
          <w:rFonts w:hint="eastAsia"/>
          <w:sz w:val="24"/>
        </w:rPr>
        <w:t>2014</w:t>
      </w:r>
      <w:r w:rsidRPr="008F2C8E">
        <w:rPr>
          <w:rFonts w:hint="eastAsia"/>
          <w:sz w:val="24"/>
        </w:rPr>
        <w:t>〕第</w:t>
      </w:r>
      <w:r w:rsidRPr="008F2C8E">
        <w:rPr>
          <w:rFonts w:hint="eastAsia"/>
          <w:sz w:val="24"/>
        </w:rPr>
        <w:t>061</w:t>
      </w:r>
      <w:r w:rsidRPr="008F2C8E">
        <w:rPr>
          <w:rFonts w:hint="eastAsia"/>
          <w:sz w:val="24"/>
        </w:rPr>
        <w:t>号）及《矿业权评估报告备案证明》（云国土资矿评备字〔</w:t>
      </w:r>
      <w:r w:rsidRPr="008F2C8E">
        <w:rPr>
          <w:rFonts w:hint="eastAsia"/>
          <w:sz w:val="24"/>
        </w:rPr>
        <w:t>2014</w:t>
      </w:r>
      <w:r w:rsidRPr="008F2C8E">
        <w:rPr>
          <w:rFonts w:hint="eastAsia"/>
          <w:sz w:val="24"/>
        </w:rPr>
        <w:t>〕第</w:t>
      </w:r>
      <w:r w:rsidRPr="008F2C8E">
        <w:rPr>
          <w:rFonts w:hint="eastAsia"/>
          <w:sz w:val="24"/>
        </w:rPr>
        <w:t>33</w:t>
      </w:r>
      <w:r w:rsidRPr="008F2C8E">
        <w:rPr>
          <w:rFonts w:hint="eastAsia"/>
          <w:sz w:val="24"/>
        </w:rPr>
        <w:t>号），四角地煤矿应缴纳采矿权价款</w:t>
      </w:r>
      <w:r w:rsidRPr="008F2C8E">
        <w:rPr>
          <w:rFonts w:hint="eastAsia"/>
          <w:sz w:val="24"/>
        </w:rPr>
        <w:t>2,178.60</w:t>
      </w:r>
      <w:r w:rsidRPr="008F2C8E">
        <w:rPr>
          <w:rFonts w:hint="eastAsia"/>
          <w:sz w:val="24"/>
        </w:rPr>
        <w:t>万元，矿业权人已于</w:t>
      </w:r>
      <w:r w:rsidRPr="008F2C8E">
        <w:rPr>
          <w:rFonts w:hint="eastAsia"/>
          <w:sz w:val="24"/>
        </w:rPr>
        <w:t>2014</w:t>
      </w:r>
      <w:r w:rsidRPr="008F2C8E">
        <w:rPr>
          <w:rFonts w:hint="eastAsia"/>
          <w:sz w:val="24"/>
        </w:rPr>
        <w:t>年</w:t>
      </w:r>
      <w:r w:rsidRPr="008F2C8E">
        <w:rPr>
          <w:rFonts w:hint="eastAsia"/>
          <w:sz w:val="24"/>
        </w:rPr>
        <w:t>10</w:t>
      </w:r>
      <w:r w:rsidRPr="008F2C8E">
        <w:rPr>
          <w:rFonts w:hint="eastAsia"/>
          <w:sz w:val="24"/>
        </w:rPr>
        <w:t>月</w:t>
      </w:r>
      <w:r w:rsidRPr="008F2C8E">
        <w:rPr>
          <w:rFonts w:hint="eastAsia"/>
          <w:sz w:val="24"/>
        </w:rPr>
        <w:t>10</w:t>
      </w:r>
      <w:r w:rsidRPr="008F2C8E">
        <w:rPr>
          <w:rFonts w:hint="eastAsia"/>
          <w:sz w:val="24"/>
        </w:rPr>
        <w:t>日缴纳完毕。上述价款对应的矿区范围为采矿许可证登记的范围，开采标高为</w:t>
      </w:r>
      <w:r w:rsidRPr="008F2C8E">
        <w:rPr>
          <w:rFonts w:hint="eastAsia"/>
          <w:sz w:val="24"/>
        </w:rPr>
        <w:t>2100</w:t>
      </w:r>
      <w:r w:rsidRPr="008F2C8E">
        <w:rPr>
          <w:rFonts w:hint="eastAsia"/>
          <w:sz w:val="24"/>
        </w:rPr>
        <w:t>米至</w:t>
      </w:r>
      <w:r w:rsidRPr="008F2C8E">
        <w:rPr>
          <w:rFonts w:hint="eastAsia"/>
          <w:sz w:val="24"/>
        </w:rPr>
        <w:t>1950</w:t>
      </w:r>
      <w:r w:rsidRPr="008F2C8E">
        <w:rPr>
          <w:rFonts w:hint="eastAsia"/>
          <w:sz w:val="24"/>
        </w:rPr>
        <w:t>米。</w:t>
      </w:r>
    </w:p>
    <w:p w:rsidR="00875C18" w:rsidRDefault="00875C18" w:rsidP="00875C18">
      <w:pPr>
        <w:spacing w:line="360" w:lineRule="auto"/>
        <w:ind w:firstLineChars="200" w:firstLine="480"/>
        <w:rPr>
          <w:rFonts w:hint="eastAsia"/>
          <w:sz w:val="24"/>
        </w:rPr>
      </w:pPr>
      <w:r>
        <w:rPr>
          <w:rFonts w:hint="eastAsia"/>
          <w:sz w:val="24"/>
        </w:rPr>
        <w:t>根据</w:t>
      </w:r>
      <w:r w:rsidRPr="008F2C8E">
        <w:rPr>
          <w:rFonts w:hint="eastAsia"/>
          <w:sz w:val="24"/>
        </w:rPr>
        <w:t>《云南省自然资源厅关于富源县十八连山镇四角地煤矿有限公司四角地煤矿划定矿区范围批复》（云自然资矿管函〔</w:t>
      </w:r>
      <w:r w:rsidRPr="008F2C8E">
        <w:rPr>
          <w:rFonts w:hint="eastAsia"/>
          <w:sz w:val="24"/>
        </w:rPr>
        <w:t>2019</w:t>
      </w:r>
      <w:r w:rsidRPr="008F2C8E">
        <w:rPr>
          <w:rFonts w:hint="eastAsia"/>
          <w:sz w:val="24"/>
        </w:rPr>
        <w:t>〕第</w:t>
      </w:r>
      <w:r w:rsidRPr="008F2C8E">
        <w:rPr>
          <w:rFonts w:hint="eastAsia"/>
          <w:sz w:val="24"/>
        </w:rPr>
        <w:t>21</w:t>
      </w:r>
      <w:r w:rsidRPr="008F2C8E">
        <w:rPr>
          <w:rFonts w:hint="eastAsia"/>
          <w:sz w:val="24"/>
        </w:rPr>
        <w:t>号），开采标高由</w:t>
      </w:r>
      <w:r w:rsidRPr="008F2C8E">
        <w:rPr>
          <w:rFonts w:hint="eastAsia"/>
          <w:sz w:val="24"/>
        </w:rPr>
        <w:t>2100</w:t>
      </w:r>
      <w:r w:rsidRPr="008F2C8E">
        <w:rPr>
          <w:rFonts w:hint="eastAsia"/>
          <w:sz w:val="24"/>
        </w:rPr>
        <w:lastRenderedPageBreak/>
        <w:t>米至</w:t>
      </w:r>
      <w:r w:rsidRPr="008F2C8E">
        <w:rPr>
          <w:rFonts w:hint="eastAsia"/>
          <w:sz w:val="24"/>
        </w:rPr>
        <w:t>1950</w:t>
      </w:r>
      <w:r w:rsidRPr="008F2C8E">
        <w:rPr>
          <w:rFonts w:hint="eastAsia"/>
          <w:sz w:val="24"/>
        </w:rPr>
        <w:t>米变更为</w:t>
      </w:r>
      <w:r w:rsidRPr="008F2C8E">
        <w:rPr>
          <w:rFonts w:hint="eastAsia"/>
          <w:sz w:val="24"/>
        </w:rPr>
        <w:t>2100</w:t>
      </w:r>
      <w:r w:rsidRPr="008F2C8E">
        <w:rPr>
          <w:rFonts w:hint="eastAsia"/>
          <w:sz w:val="24"/>
        </w:rPr>
        <w:t>米至</w:t>
      </w:r>
      <w:r w:rsidRPr="008F2C8E">
        <w:rPr>
          <w:rFonts w:hint="eastAsia"/>
          <w:sz w:val="24"/>
        </w:rPr>
        <w:t>1800</w:t>
      </w:r>
      <w:r w:rsidRPr="008F2C8E">
        <w:rPr>
          <w:rFonts w:hint="eastAsia"/>
          <w:sz w:val="24"/>
        </w:rPr>
        <w:t>米，扩大矿区范围（开采标高</w:t>
      </w:r>
      <w:r w:rsidRPr="008F2C8E">
        <w:rPr>
          <w:rFonts w:hint="eastAsia"/>
          <w:sz w:val="24"/>
        </w:rPr>
        <w:t>1950</w:t>
      </w:r>
      <w:r w:rsidRPr="008F2C8E">
        <w:rPr>
          <w:rFonts w:hint="eastAsia"/>
          <w:sz w:val="24"/>
        </w:rPr>
        <w:t>至</w:t>
      </w:r>
      <w:r w:rsidRPr="008F2C8E">
        <w:rPr>
          <w:rFonts w:hint="eastAsia"/>
          <w:sz w:val="24"/>
        </w:rPr>
        <w:t>1800</w:t>
      </w:r>
      <w:r w:rsidRPr="008F2C8E">
        <w:rPr>
          <w:rFonts w:hint="eastAsia"/>
          <w:sz w:val="24"/>
        </w:rPr>
        <w:t>米）尚未完成采矿权出让收益处置。根据《生产勘探报告》及其备案证明，扩大矿区范围新增硫分≤</w:t>
      </w:r>
      <w:r w:rsidRPr="008F2C8E">
        <w:rPr>
          <w:rFonts w:hint="eastAsia"/>
          <w:sz w:val="24"/>
        </w:rPr>
        <w:t>3%</w:t>
      </w:r>
      <w:r w:rsidRPr="008F2C8E">
        <w:rPr>
          <w:rFonts w:hint="eastAsia"/>
          <w:sz w:val="24"/>
        </w:rPr>
        <w:t>资源量</w:t>
      </w:r>
      <w:r w:rsidRPr="008F2C8E">
        <w:rPr>
          <w:rFonts w:hint="eastAsia"/>
          <w:sz w:val="24"/>
        </w:rPr>
        <w:t>2,046.00</w:t>
      </w:r>
      <w:r w:rsidRPr="008F2C8E">
        <w:rPr>
          <w:rFonts w:hint="eastAsia"/>
          <w:sz w:val="24"/>
        </w:rPr>
        <w:t>万吨。按照云南省公布的出让收益基准价计算，无烟煤的基准价为</w:t>
      </w:r>
      <w:r w:rsidRPr="008F2C8E">
        <w:rPr>
          <w:rFonts w:hint="eastAsia"/>
          <w:sz w:val="24"/>
        </w:rPr>
        <w:t>3.0</w:t>
      </w:r>
      <w:r w:rsidRPr="008F2C8E">
        <w:rPr>
          <w:rFonts w:hint="eastAsia"/>
          <w:sz w:val="24"/>
        </w:rPr>
        <w:t>元</w:t>
      </w:r>
      <w:r w:rsidRPr="008F2C8E">
        <w:rPr>
          <w:rFonts w:hint="eastAsia"/>
          <w:sz w:val="24"/>
        </w:rPr>
        <w:t>/</w:t>
      </w:r>
      <w:r w:rsidRPr="008F2C8E">
        <w:rPr>
          <w:rFonts w:hint="eastAsia"/>
          <w:sz w:val="24"/>
        </w:rPr>
        <w:t>吨，则新增资源需补缴的最低出让收益为：</w:t>
      </w:r>
      <w:r w:rsidRPr="008F2C8E">
        <w:rPr>
          <w:rFonts w:hint="eastAsia"/>
          <w:sz w:val="24"/>
        </w:rPr>
        <w:t>2,046</w:t>
      </w:r>
      <w:r w:rsidRPr="008F2C8E">
        <w:rPr>
          <w:rFonts w:hint="eastAsia"/>
          <w:sz w:val="24"/>
        </w:rPr>
        <w:t>×</w:t>
      </w:r>
      <w:r w:rsidRPr="008F2C8E">
        <w:rPr>
          <w:rFonts w:hint="eastAsia"/>
          <w:sz w:val="24"/>
        </w:rPr>
        <w:t>3</w:t>
      </w:r>
      <w:r>
        <w:rPr>
          <w:sz w:val="24"/>
        </w:rPr>
        <w:t>.0</w:t>
      </w:r>
      <w:r w:rsidRPr="008F2C8E">
        <w:rPr>
          <w:rFonts w:hint="eastAsia"/>
          <w:sz w:val="24"/>
        </w:rPr>
        <w:t>＝</w:t>
      </w:r>
      <w:r w:rsidRPr="008F2C8E">
        <w:rPr>
          <w:rFonts w:hint="eastAsia"/>
          <w:sz w:val="24"/>
        </w:rPr>
        <w:t>6,138.00</w:t>
      </w:r>
      <w:r w:rsidRPr="008F2C8E">
        <w:rPr>
          <w:rFonts w:hint="eastAsia"/>
          <w:sz w:val="24"/>
        </w:rPr>
        <w:t>万元。该出让收益为按照基准价估算的最低价，最终金额应以政府相关部门核定的金额为准。</w:t>
      </w:r>
    </w:p>
    <w:p w:rsidR="00875C18" w:rsidRDefault="00875C18" w:rsidP="00875C18">
      <w:pPr>
        <w:spacing w:line="360" w:lineRule="auto"/>
        <w:ind w:firstLineChars="200" w:firstLine="480"/>
        <w:rPr>
          <w:rFonts w:hint="eastAsia"/>
          <w:sz w:val="24"/>
        </w:rPr>
      </w:pPr>
      <w:r w:rsidRPr="00485B63">
        <w:rPr>
          <w:rFonts w:hint="eastAsia"/>
          <w:sz w:val="24"/>
        </w:rPr>
        <w:t>以上内容摘自资产评估报告正文，欲了解本评估业务的详细情况和正确理解评估结论，应当阅读资产评估报告正文。</w:t>
      </w:r>
    </w:p>
    <w:p w:rsidR="00DB4D52" w:rsidRPr="004C4112" w:rsidRDefault="00DB4D52" w:rsidP="00875C18">
      <w:pPr>
        <w:pStyle w:val="a3"/>
        <w:spacing w:line="360" w:lineRule="auto"/>
        <w:ind w:firstLine="0"/>
      </w:pPr>
    </w:p>
    <w:sectPr w:rsidR="00DB4D52" w:rsidRPr="004C4112" w:rsidSect="009317D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20" w:rsidRDefault="00DB1620" w:rsidP="00AD7AA7">
      <w:r>
        <w:separator/>
      </w:r>
    </w:p>
  </w:endnote>
  <w:endnote w:type="continuationSeparator" w:id="1">
    <w:p w:rsidR="00DB1620" w:rsidRDefault="00DB1620" w:rsidP="00AD7AA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20" w:rsidRDefault="00DB1620" w:rsidP="00AD7AA7">
      <w:r>
        <w:separator/>
      </w:r>
    </w:p>
  </w:footnote>
  <w:footnote w:type="continuationSeparator" w:id="1">
    <w:p w:rsidR="00DB1620" w:rsidRDefault="00DB1620" w:rsidP="00AD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ABF60"/>
    <w:multiLevelType w:val="singleLevel"/>
    <w:tmpl w:val="846ABF60"/>
    <w:lvl w:ilvl="0">
      <w:start w:val="1"/>
      <w:numFmt w:val="chineseCounting"/>
      <w:suff w:val="nothing"/>
      <w:lvlText w:val="（%1）"/>
      <w:lvlJc w:val="left"/>
      <w:rPr>
        <w:rFonts w:hint="eastAsia"/>
      </w:rPr>
    </w:lvl>
  </w:abstractNum>
  <w:abstractNum w:abstractNumId="1">
    <w:nsid w:val="23F7052E"/>
    <w:multiLevelType w:val="hybridMultilevel"/>
    <w:tmpl w:val="1898FF3E"/>
    <w:lvl w:ilvl="0" w:tplc="11A2E426">
      <w:start w:val="1"/>
      <w:numFmt w:val="chineseCountingThousand"/>
      <w:suff w:val="space"/>
      <w:lvlText w:val="%1、"/>
      <w:lvlJc w:val="center"/>
      <w:pPr>
        <w:ind w:left="84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2A6"/>
    <w:rsid w:val="00363839"/>
    <w:rsid w:val="004069D1"/>
    <w:rsid w:val="004B142D"/>
    <w:rsid w:val="004C4112"/>
    <w:rsid w:val="006812F9"/>
    <w:rsid w:val="0073471B"/>
    <w:rsid w:val="007A2548"/>
    <w:rsid w:val="00875C18"/>
    <w:rsid w:val="008B5548"/>
    <w:rsid w:val="008D52A6"/>
    <w:rsid w:val="009317D0"/>
    <w:rsid w:val="00A24200"/>
    <w:rsid w:val="00A54EA0"/>
    <w:rsid w:val="00AD7AA7"/>
    <w:rsid w:val="00BE4E12"/>
    <w:rsid w:val="00D30483"/>
    <w:rsid w:val="00DB1620"/>
    <w:rsid w:val="00DB4D52"/>
    <w:rsid w:val="00E6089D"/>
    <w:rsid w:val="00E73349"/>
    <w:rsid w:val="00EC60C0"/>
    <w:rsid w:val="00F12AF7"/>
    <w:rsid w:val="00F37167"/>
    <w:rsid w:val="00F44F6F"/>
    <w:rsid w:val="00FA7FF0"/>
    <w:rsid w:val="00FF0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A6"/>
    <w:pPr>
      <w:widowControl w:val="0"/>
      <w:jc w:val="both"/>
    </w:pPr>
    <w:rPr>
      <w:rFonts w:ascii="Times New Roman" w:eastAsia="宋体" w:hAnsi="Times New Roman" w:cs="Times New Roman"/>
      <w:szCs w:val="24"/>
    </w:rPr>
  </w:style>
  <w:style w:type="paragraph" w:styleId="1">
    <w:name w:val="heading 1"/>
    <w:basedOn w:val="a"/>
    <w:next w:val="a"/>
    <w:link w:val="1Char"/>
    <w:qFormat/>
    <w:rsid w:val="00AD7AA7"/>
    <w:pPr>
      <w:keepNext/>
      <w:keepLines/>
      <w:adjustRightInd w:val="0"/>
      <w:spacing w:before="340" w:after="330" w:line="578" w:lineRule="atLeast"/>
      <w:ind w:firstLine="425"/>
      <w:textAlignment w:val="baseline"/>
      <w:outlineLvl w:val="0"/>
    </w:pPr>
    <w:rPr>
      <w:rFonts w:eastAsia="黑体"/>
      <w:b/>
      <w:kern w:val="44"/>
      <w:sz w:val="36"/>
      <w:szCs w:val="20"/>
    </w:rPr>
  </w:style>
  <w:style w:type="paragraph" w:styleId="2">
    <w:name w:val="heading 2"/>
    <w:basedOn w:val="a"/>
    <w:next w:val="a"/>
    <w:link w:val="2Char"/>
    <w:qFormat/>
    <w:rsid w:val="00AD7AA7"/>
    <w:pPr>
      <w:keepNext/>
      <w:keepLines/>
      <w:adjustRightInd w:val="0"/>
      <w:spacing w:before="260" w:after="260" w:line="416" w:lineRule="atLeast"/>
      <w:ind w:firstLine="425"/>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
    <w:qFormat/>
    <w:rsid w:val="008D52A6"/>
    <w:pPr>
      <w:autoSpaceDE w:val="0"/>
      <w:autoSpaceDN w:val="0"/>
      <w:adjustRightInd w:val="0"/>
      <w:ind w:firstLine="420"/>
      <w:textAlignment w:val="baseline"/>
    </w:pPr>
    <w:rPr>
      <w:rFonts w:ascii="宋体"/>
      <w:kern w:val="0"/>
      <w:szCs w:val="20"/>
    </w:rPr>
  </w:style>
  <w:style w:type="character" w:customStyle="1" w:styleId="Char">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居中 Char"/>
    <w:link w:val="a3"/>
    <w:qFormat/>
    <w:rsid w:val="008D52A6"/>
    <w:rPr>
      <w:rFonts w:ascii="宋体" w:eastAsia="宋体" w:hAnsi="Times New Roman" w:cs="Times New Roman"/>
      <w:kern w:val="0"/>
      <w:szCs w:val="20"/>
    </w:rPr>
  </w:style>
  <w:style w:type="paragraph" w:styleId="a4">
    <w:name w:val="header"/>
    <w:basedOn w:val="a"/>
    <w:link w:val="Char0"/>
    <w:uiPriority w:val="99"/>
    <w:unhideWhenUsed/>
    <w:qFormat/>
    <w:rsid w:val="00AD7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D7AA7"/>
    <w:rPr>
      <w:rFonts w:ascii="Times New Roman" w:eastAsia="宋体" w:hAnsi="Times New Roman" w:cs="Times New Roman"/>
      <w:sz w:val="18"/>
      <w:szCs w:val="18"/>
    </w:rPr>
  </w:style>
  <w:style w:type="paragraph" w:styleId="a5">
    <w:name w:val="footer"/>
    <w:basedOn w:val="a"/>
    <w:link w:val="Char1"/>
    <w:uiPriority w:val="99"/>
    <w:unhideWhenUsed/>
    <w:rsid w:val="00AD7AA7"/>
    <w:pPr>
      <w:tabs>
        <w:tab w:val="center" w:pos="4153"/>
        <w:tab w:val="right" w:pos="8306"/>
      </w:tabs>
      <w:snapToGrid w:val="0"/>
      <w:jc w:val="left"/>
    </w:pPr>
    <w:rPr>
      <w:sz w:val="18"/>
      <w:szCs w:val="18"/>
    </w:rPr>
  </w:style>
  <w:style w:type="character" w:customStyle="1" w:styleId="Char1">
    <w:name w:val="页脚 Char"/>
    <w:basedOn w:val="a0"/>
    <w:link w:val="a5"/>
    <w:uiPriority w:val="99"/>
    <w:rsid w:val="00AD7AA7"/>
    <w:rPr>
      <w:rFonts w:ascii="Times New Roman" w:eastAsia="宋体" w:hAnsi="Times New Roman" w:cs="Times New Roman"/>
      <w:sz w:val="18"/>
      <w:szCs w:val="18"/>
    </w:rPr>
  </w:style>
  <w:style w:type="character" w:customStyle="1" w:styleId="1Char">
    <w:name w:val="标题 1 Char"/>
    <w:basedOn w:val="a0"/>
    <w:link w:val="1"/>
    <w:qFormat/>
    <w:rsid w:val="00AD7AA7"/>
    <w:rPr>
      <w:rFonts w:ascii="Times New Roman" w:eastAsia="黑体" w:hAnsi="Times New Roman" w:cs="Times New Roman"/>
      <w:b/>
      <w:kern w:val="44"/>
      <w:sz w:val="36"/>
      <w:szCs w:val="20"/>
    </w:rPr>
  </w:style>
  <w:style w:type="character" w:customStyle="1" w:styleId="2Char">
    <w:name w:val="标题 2 Char"/>
    <w:basedOn w:val="a0"/>
    <w:link w:val="2"/>
    <w:qFormat/>
    <w:rsid w:val="00AD7AA7"/>
    <w:rPr>
      <w:rFonts w:ascii="Arial" w:eastAsia="黑体" w:hAnsi="Arial" w:cs="Times New Roman"/>
      <w:b/>
      <w:kern w:val="0"/>
      <w:sz w:val="32"/>
      <w:szCs w:val="20"/>
    </w:rPr>
  </w:style>
  <w:style w:type="character" w:styleId="a6">
    <w:name w:val="Hyperlink"/>
    <w:uiPriority w:val="99"/>
    <w:qFormat/>
    <w:rsid w:val="00AD7AA7"/>
    <w:rPr>
      <w:color w:val="0000FF"/>
      <w:u w:val="single"/>
    </w:rPr>
  </w:style>
  <w:style w:type="character" w:customStyle="1" w:styleId="Char10">
    <w:name w:val="正文缩进 Char1"/>
    <w:qFormat/>
    <w:rsid w:val="00AD7AA7"/>
    <w:rPr>
      <w:sz w:val="24"/>
    </w:rPr>
  </w:style>
  <w:style w:type="paragraph" w:customStyle="1" w:styleId="zw">
    <w:name w:val="zw"/>
    <w:basedOn w:val="a"/>
    <w:link w:val="zwChar"/>
    <w:qFormat/>
    <w:rsid w:val="00F12AF7"/>
    <w:pPr>
      <w:autoSpaceDE w:val="0"/>
      <w:autoSpaceDN w:val="0"/>
      <w:adjustRightInd w:val="0"/>
      <w:spacing w:line="360" w:lineRule="auto"/>
      <w:ind w:firstLine="482"/>
      <w:textAlignment w:val="bottom"/>
    </w:pPr>
    <w:rPr>
      <w:rFonts w:ascii="Arial Narrow" w:eastAsia="幼圆" w:hAnsi="Arial Narrow"/>
      <w:kern w:val="0"/>
      <w:sz w:val="24"/>
      <w:szCs w:val="20"/>
    </w:rPr>
  </w:style>
  <w:style w:type="character" w:customStyle="1" w:styleId="zwChar">
    <w:name w:val="zw Char"/>
    <w:link w:val="zw"/>
    <w:qFormat/>
    <w:rsid w:val="00F12AF7"/>
    <w:rPr>
      <w:rFonts w:ascii="Arial Narrow" w:eastAsia="幼圆" w:hAnsi="Arial Narrow" w:cs="Times New Roman"/>
      <w:kern w:val="0"/>
      <w:sz w:val="24"/>
      <w:szCs w:val="20"/>
    </w:rPr>
  </w:style>
  <w:style w:type="paragraph" w:styleId="a7">
    <w:name w:val="List"/>
    <w:basedOn w:val="a"/>
    <w:rsid w:val="00F12AF7"/>
    <w:pPr>
      <w:ind w:left="420" w:hanging="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A6"/>
    <w:pPr>
      <w:widowControl w:val="0"/>
      <w:jc w:val="both"/>
    </w:pPr>
    <w:rPr>
      <w:rFonts w:ascii="Times New Roman" w:eastAsia="宋体" w:hAnsi="Times New Roman" w:cs="Times New Roman"/>
      <w:szCs w:val="24"/>
    </w:rPr>
  </w:style>
  <w:style w:type="paragraph" w:styleId="1">
    <w:name w:val="heading 1"/>
    <w:basedOn w:val="a"/>
    <w:next w:val="a"/>
    <w:link w:val="1Char"/>
    <w:qFormat/>
    <w:rsid w:val="00AD7AA7"/>
    <w:pPr>
      <w:keepNext/>
      <w:keepLines/>
      <w:adjustRightInd w:val="0"/>
      <w:spacing w:before="340" w:after="330" w:line="578" w:lineRule="atLeast"/>
      <w:ind w:firstLine="425"/>
      <w:textAlignment w:val="baseline"/>
      <w:outlineLvl w:val="0"/>
    </w:pPr>
    <w:rPr>
      <w:rFonts w:eastAsia="黑体"/>
      <w:b/>
      <w:kern w:val="44"/>
      <w:sz w:val="36"/>
      <w:szCs w:val="20"/>
    </w:rPr>
  </w:style>
  <w:style w:type="paragraph" w:styleId="2">
    <w:name w:val="heading 2"/>
    <w:basedOn w:val="a"/>
    <w:next w:val="a"/>
    <w:link w:val="2Char"/>
    <w:qFormat/>
    <w:rsid w:val="00AD7AA7"/>
    <w:pPr>
      <w:keepNext/>
      <w:keepLines/>
      <w:adjustRightInd w:val="0"/>
      <w:spacing w:before="260" w:after="260" w:line="416" w:lineRule="atLeast"/>
      <w:ind w:firstLine="425"/>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
    <w:qFormat/>
    <w:rsid w:val="008D52A6"/>
    <w:pPr>
      <w:autoSpaceDE w:val="0"/>
      <w:autoSpaceDN w:val="0"/>
      <w:adjustRightInd w:val="0"/>
      <w:ind w:firstLine="420"/>
      <w:textAlignment w:val="baseline"/>
    </w:pPr>
    <w:rPr>
      <w:rFonts w:ascii="宋体"/>
      <w:kern w:val="0"/>
      <w:szCs w:val="20"/>
    </w:rPr>
  </w:style>
  <w:style w:type="character" w:customStyle="1" w:styleId="Char">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link w:val="a3"/>
    <w:qFormat/>
    <w:rsid w:val="008D52A6"/>
    <w:rPr>
      <w:rFonts w:ascii="宋体" w:eastAsia="宋体" w:hAnsi="Times New Roman" w:cs="Times New Roman"/>
      <w:kern w:val="0"/>
      <w:szCs w:val="20"/>
    </w:rPr>
  </w:style>
  <w:style w:type="paragraph" w:styleId="a4">
    <w:name w:val="header"/>
    <w:basedOn w:val="a"/>
    <w:link w:val="Char0"/>
    <w:uiPriority w:val="99"/>
    <w:unhideWhenUsed/>
    <w:rsid w:val="00AD7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7AA7"/>
    <w:rPr>
      <w:rFonts w:ascii="Times New Roman" w:eastAsia="宋体" w:hAnsi="Times New Roman" w:cs="Times New Roman"/>
      <w:sz w:val="18"/>
      <w:szCs w:val="18"/>
    </w:rPr>
  </w:style>
  <w:style w:type="paragraph" w:styleId="a5">
    <w:name w:val="footer"/>
    <w:basedOn w:val="a"/>
    <w:link w:val="Char1"/>
    <w:uiPriority w:val="99"/>
    <w:unhideWhenUsed/>
    <w:rsid w:val="00AD7AA7"/>
    <w:pPr>
      <w:tabs>
        <w:tab w:val="center" w:pos="4153"/>
        <w:tab w:val="right" w:pos="8306"/>
      </w:tabs>
      <w:snapToGrid w:val="0"/>
      <w:jc w:val="left"/>
    </w:pPr>
    <w:rPr>
      <w:sz w:val="18"/>
      <w:szCs w:val="18"/>
    </w:rPr>
  </w:style>
  <w:style w:type="character" w:customStyle="1" w:styleId="Char1">
    <w:name w:val="页脚 Char"/>
    <w:basedOn w:val="a0"/>
    <w:link w:val="a5"/>
    <w:uiPriority w:val="99"/>
    <w:rsid w:val="00AD7AA7"/>
    <w:rPr>
      <w:rFonts w:ascii="Times New Roman" w:eastAsia="宋体" w:hAnsi="Times New Roman" w:cs="Times New Roman"/>
      <w:sz w:val="18"/>
      <w:szCs w:val="18"/>
    </w:rPr>
  </w:style>
  <w:style w:type="character" w:customStyle="1" w:styleId="1Char">
    <w:name w:val="标题 1 Char"/>
    <w:basedOn w:val="a0"/>
    <w:link w:val="1"/>
    <w:qFormat/>
    <w:rsid w:val="00AD7AA7"/>
    <w:rPr>
      <w:rFonts w:ascii="Times New Roman" w:eastAsia="黑体" w:hAnsi="Times New Roman" w:cs="Times New Roman"/>
      <w:b/>
      <w:kern w:val="44"/>
      <w:sz w:val="36"/>
      <w:szCs w:val="20"/>
    </w:rPr>
  </w:style>
  <w:style w:type="character" w:customStyle="1" w:styleId="2Char">
    <w:name w:val="标题 2 Char"/>
    <w:basedOn w:val="a0"/>
    <w:link w:val="2"/>
    <w:qFormat/>
    <w:rsid w:val="00AD7AA7"/>
    <w:rPr>
      <w:rFonts w:ascii="Arial" w:eastAsia="黑体" w:hAnsi="Arial" w:cs="Times New Roman"/>
      <w:b/>
      <w:kern w:val="0"/>
      <w:sz w:val="32"/>
      <w:szCs w:val="20"/>
    </w:rPr>
  </w:style>
  <w:style w:type="character" w:styleId="a6">
    <w:name w:val="Hyperlink"/>
    <w:uiPriority w:val="99"/>
    <w:qFormat/>
    <w:rsid w:val="00AD7AA7"/>
    <w:rPr>
      <w:color w:val="0000FF"/>
      <w:u w:val="single"/>
    </w:rPr>
  </w:style>
  <w:style w:type="character" w:customStyle="1" w:styleId="Char10">
    <w:name w:val="正文缩进 Char1"/>
    <w:qFormat/>
    <w:rsid w:val="00AD7AA7"/>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彭海辉</dc:creator>
  <cp:keywords/>
  <dc:description/>
  <cp:lastModifiedBy>董丽彬</cp:lastModifiedBy>
  <cp:revision>9</cp:revision>
  <dcterms:created xsi:type="dcterms:W3CDTF">2019-12-24T01:24:00Z</dcterms:created>
  <dcterms:modified xsi:type="dcterms:W3CDTF">2020-03-24T10:01:00Z</dcterms:modified>
</cp:coreProperties>
</file>