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7" w:rsidRPr="00A565CC" w:rsidRDefault="00A565CC" w:rsidP="00A565CC">
      <w:pPr>
        <w:pStyle w:val="zw"/>
        <w:snapToGrid w:val="0"/>
        <w:spacing w:beforeLines="50"/>
        <w:ind w:firstLineChars="200" w:firstLine="640"/>
        <w:jc w:val="center"/>
        <w:rPr>
          <w:rFonts w:ascii="Times New Roman" w:eastAsia="宋体" w:hAnsi="Times New Roman"/>
          <w:bCs/>
          <w:kern w:val="2"/>
          <w:sz w:val="32"/>
          <w:szCs w:val="32"/>
        </w:rPr>
      </w:pPr>
      <w:r w:rsidRPr="00A565CC">
        <w:rPr>
          <w:rFonts w:ascii="Times New Roman" w:eastAsia="宋体" w:hAnsi="Times New Roman" w:hint="eastAsia"/>
          <w:bCs/>
          <w:kern w:val="2"/>
          <w:sz w:val="32"/>
          <w:szCs w:val="32"/>
        </w:rPr>
        <w:t>评估报告重要特别事项说明</w:t>
      </w:r>
    </w:p>
    <w:p w:rsidR="00465E67" w:rsidRDefault="00465E67" w:rsidP="00465E67">
      <w:pPr>
        <w:pStyle w:val="zw"/>
        <w:snapToGrid w:val="0"/>
        <w:ind w:firstLine="480"/>
        <w:rPr>
          <w:rFonts w:ascii="Times New Roman" w:eastAsia="宋体" w:hAnsi="Times New Roman"/>
          <w:bCs/>
          <w:kern w:val="2"/>
          <w:szCs w:val="24"/>
        </w:rPr>
      </w:pPr>
      <w:r w:rsidRPr="00A46E9D">
        <w:rPr>
          <w:rFonts w:ascii="Times New Roman" w:eastAsia="宋体" w:hAnsi="Times New Roman" w:hint="eastAsia"/>
          <w:bCs/>
          <w:kern w:val="2"/>
          <w:szCs w:val="24"/>
        </w:rPr>
        <w:t>1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、评估人员现场查勘时发现，</w:t>
      </w:r>
      <w:proofErr w:type="gramStart"/>
      <w:r w:rsidRPr="00A46E9D">
        <w:rPr>
          <w:rFonts w:ascii="Times New Roman" w:eastAsia="宋体" w:hAnsi="Times New Roman" w:hint="eastAsia"/>
          <w:bCs/>
          <w:kern w:val="2"/>
          <w:szCs w:val="24"/>
        </w:rPr>
        <w:t>本次委估的</w:t>
      </w:r>
      <w:proofErr w:type="gramEnd"/>
      <w:r w:rsidRPr="00A46E9D">
        <w:rPr>
          <w:rFonts w:ascii="Times New Roman" w:eastAsia="宋体" w:hAnsi="Times New Roman" w:hint="eastAsia"/>
          <w:bCs/>
          <w:kern w:val="2"/>
          <w:szCs w:val="24"/>
        </w:rPr>
        <w:t>机器设备中有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3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个铝罐处于闲置状态，其外观局部有明显变形。由于条件有限，评估人员现场无法对铝罐进行试验是否有破损或渗漏。经询问企业管理人员了解到，这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3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个铝罐主要用于企业期初存储规格不达标的酒精，随着企业运行逐步走向正轨，基本不再收储不达标酒精，因此设备处于闲置，被评估单位承诺，铝罐虽有变形但并无破损或泄露，能正常使用。故此次评估按照可正常使用状态予以估值。</w:t>
      </w:r>
    </w:p>
    <w:p w:rsidR="00465E67" w:rsidRDefault="00465E67" w:rsidP="00465E67">
      <w:pPr>
        <w:pStyle w:val="zw"/>
        <w:snapToGrid w:val="0"/>
        <w:ind w:firstLine="480"/>
        <w:rPr>
          <w:rFonts w:ascii="Times New Roman" w:eastAsia="宋体" w:hAnsi="Times New Roman"/>
          <w:bCs/>
          <w:kern w:val="2"/>
          <w:szCs w:val="24"/>
        </w:rPr>
      </w:pPr>
      <w:r>
        <w:rPr>
          <w:rFonts w:ascii="Times New Roman" w:eastAsia="宋体" w:hAnsi="Times New Roman" w:hint="eastAsia"/>
          <w:bCs/>
          <w:kern w:val="2"/>
          <w:szCs w:val="24"/>
        </w:rPr>
        <w:t>2</w:t>
      </w:r>
      <w:r>
        <w:rPr>
          <w:rFonts w:ascii="Times New Roman" w:eastAsia="宋体" w:hAnsi="Times New Roman" w:hint="eastAsia"/>
          <w:bCs/>
          <w:kern w:val="2"/>
          <w:szCs w:val="24"/>
        </w:rPr>
        <w:t>、</w:t>
      </w:r>
      <w:proofErr w:type="gramStart"/>
      <w:r w:rsidRPr="00A46E9D">
        <w:rPr>
          <w:rFonts w:ascii="Times New Roman" w:eastAsia="宋体" w:hAnsi="Times New Roman" w:hint="eastAsia"/>
          <w:bCs/>
          <w:kern w:val="2"/>
          <w:szCs w:val="24"/>
        </w:rPr>
        <w:t>本次委估的</w:t>
      </w:r>
      <w:proofErr w:type="gramEnd"/>
      <w:r w:rsidRPr="00A46E9D">
        <w:rPr>
          <w:rFonts w:ascii="Times New Roman" w:eastAsia="宋体" w:hAnsi="Times New Roman" w:hint="eastAsia"/>
          <w:bCs/>
          <w:kern w:val="2"/>
          <w:szCs w:val="24"/>
        </w:rPr>
        <w:t>机器设备中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1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个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15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吨钢制计量罐处于闲置状态，评估人员了解到，该储罐主要用于计量通过铁路运输酒精的数量，因目前酒精运输方式逐步由铁路改为汽运，故该设备被闲置。因长期被闲置，该计量罐未正常做年检，检验合格证已于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2007</w:t>
      </w:r>
      <w:r w:rsidRPr="00A46E9D">
        <w:rPr>
          <w:rFonts w:ascii="Times New Roman" w:eastAsia="宋体" w:hAnsi="Times New Roman" w:hint="eastAsia"/>
          <w:bCs/>
          <w:kern w:val="2"/>
          <w:szCs w:val="24"/>
        </w:rPr>
        <w:t>年到期。由于条件有限，评估人员现场无法对计量罐进行试验，但被评估单位承诺，该设备无损坏，能正常使用。故此次评估按照可正常使用状态予以估值。</w:t>
      </w:r>
    </w:p>
    <w:p w:rsidR="00465E67" w:rsidRDefault="00465E67" w:rsidP="00465E67">
      <w:pPr>
        <w:pStyle w:val="zw"/>
        <w:snapToGrid w:val="0"/>
        <w:ind w:firstLine="480"/>
        <w:rPr>
          <w:rFonts w:ascii="Times New Roman" w:eastAsia="宋体" w:hAnsi="Times New Roman"/>
          <w:bCs/>
          <w:kern w:val="2"/>
          <w:szCs w:val="24"/>
        </w:rPr>
      </w:pPr>
      <w:r>
        <w:rPr>
          <w:rFonts w:ascii="Times New Roman" w:eastAsia="宋体" w:hAnsi="Times New Roman" w:hint="eastAsia"/>
          <w:szCs w:val="24"/>
        </w:rPr>
        <w:t>3</w:t>
      </w:r>
      <w:r>
        <w:rPr>
          <w:rFonts w:ascii="Times New Roman" w:eastAsia="宋体" w:hAnsi="Times New Roman" w:hint="eastAsia"/>
          <w:szCs w:val="24"/>
        </w:rPr>
        <w:t>、</w:t>
      </w:r>
      <w:proofErr w:type="gramStart"/>
      <w:r w:rsidRPr="001B202C">
        <w:rPr>
          <w:rFonts w:ascii="Times New Roman" w:eastAsia="宋体" w:hAnsi="Times New Roman"/>
          <w:szCs w:val="24"/>
        </w:rPr>
        <w:t>委估房屋</w:t>
      </w:r>
      <w:proofErr w:type="gramEnd"/>
      <w:r w:rsidRPr="001B202C">
        <w:rPr>
          <w:rFonts w:ascii="Times New Roman" w:eastAsia="宋体" w:hAnsi="Times New Roman"/>
          <w:szCs w:val="24"/>
        </w:rPr>
        <w:t>建筑物共有</w:t>
      </w:r>
      <w:r>
        <w:rPr>
          <w:rFonts w:ascii="Times New Roman" w:eastAsia="宋体" w:hAnsi="Times New Roman"/>
          <w:szCs w:val="24"/>
        </w:rPr>
        <w:t>3</w:t>
      </w:r>
      <w:r w:rsidRPr="001B202C">
        <w:rPr>
          <w:rFonts w:ascii="Times New Roman" w:eastAsia="宋体" w:hAnsi="Times New Roman"/>
          <w:szCs w:val="24"/>
        </w:rPr>
        <w:t>项房屋未办理房屋所有权证，建筑面积合计</w:t>
      </w:r>
      <w:r w:rsidRPr="001B202C">
        <w:rPr>
          <w:rFonts w:ascii="Times New Roman" w:eastAsia="宋体" w:hAnsi="Times New Roman"/>
          <w:szCs w:val="24"/>
        </w:rPr>
        <w:t>120.10</w:t>
      </w:r>
      <w:r w:rsidRPr="001B202C">
        <w:rPr>
          <w:rFonts w:ascii="Times New Roman" w:eastAsia="宋体" w:hAnsi="Times New Roman"/>
          <w:szCs w:val="24"/>
        </w:rPr>
        <w:t>平方米。被评估单位承诺，</w:t>
      </w:r>
      <w:r>
        <w:rPr>
          <w:rFonts w:ascii="Times New Roman" w:eastAsia="宋体" w:hAnsi="Times New Roman"/>
          <w:szCs w:val="24"/>
        </w:rPr>
        <w:t>这些</w:t>
      </w:r>
      <w:r w:rsidRPr="001B202C">
        <w:rPr>
          <w:rFonts w:ascii="Times New Roman" w:eastAsia="宋体" w:hAnsi="Times New Roman"/>
          <w:szCs w:val="24"/>
        </w:rPr>
        <w:t>房屋建筑物均为被评估单位出资兴建，资产取得来源合法，拥有完全产权，不存在其他处置、留存、收益的限制，不存在权属纠纷</w:t>
      </w:r>
      <w:r>
        <w:rPr>
          <w:rFonts w:ascii="Times New Roman" w:eastAsia="宋体" w:hAnsi="Times New Roman" w:hint="eastAsia"/>
          <w:szCs w:val="24"/>
        </w:rPr>
        <w:t>。</w:t>
      </w:r>
    </w:p>
    <w:p w:rsidR="00465E67" w:rsidRPr="00250847" w:rsidRDefault="00465E67" w:rsidP="00465E67">
      <w:pPr>
        <w:pStyle w:val="a7"/>
        <w:autoSpaceDE/>
        <w:autoSpaceDN/>
        <w:adjustRightInd/>
        <w:spacing w:before="0" w:line="360" w:lineRule="auto"/>
        <w:ind w:firstLineChars="200" w:firstLine="480"/>
        <w:jc w:val="both"/>
        <w:textAlignment w:val="auto"/>
        <w:rPr>
          <w:rFonts w:ascii="Times New Roman" w:eastAsia="宋体"/>
          <w:bCs/>
          <w:kern w:val="2"/>
          <w:sz w:val="24"/>
          <w:szCs w:val="24"/>
        </w:rPr>
      </w:pPr>
      <w:r>
        <w:rPr>
          <w:rFonts w:ascii="Times New Roman" w:eastAsia="宋体"/>
          <w:bCs/>
          <w:kern w:val="2"/>
          <w:sz w:val="24"/>
          <w:szCs w:val="24"/>
        </w:rPr>
        <w:t>4</w:t>
      </w:r>
      <w:r w:rsidRPr="00250847">
        <w:rPr>
          <w:rFonts w:ascii="Times New Roman" w:eastAsia="宋体" w:hint="eastAsia"/>
          <w:bCs/>
          <w:kern w:val="2"/>
          <w:sz w:val="24"/>
          <w:szCs w:val="24"/>
        </w:rPr>
        <w:t>、以下</w:t>
      </w:r>
      <w:r w:rsidRPr="00250847">
        <w:rPr>
          <w:rFonts w:ascii="Times New Roman" w:eastAsia="宋体"/>
          <w:bCs/>
          <w:kern w:val="2"/>
          <w:sz w:val="24"/>
          <w:szCs w:val="24"/>
        </w:rPr>
        <w:t>纳入评估范围内的资产</w:t>
      </w:r>
      <w:r w:rsidRPr="00250847">
        <w:rPr>
          <w:rFonts w:ascii="Times New Roman" w:eastAsia="宋体" w:hint="eastAsia"/>
          <w:bCs/>
          <w:kern w:val="2"/>
          <w:sz w:val="24"/>
          <w:szCs w:val="24"/>
        </w:rPr>
        <w:t>属于账外资产</w:t>
      </w:r>
      <w:r w:rsidRPr="00250847">
        <w:rPr>
          <w:rFonts w:ascii="Times New Roman" w:eastAsia="宋体"/>
          <w:bCs/>
          <w:kern w:val="2"/>
          <w:sz w:val="24"/>
          <w:szCs w:val="24"/>
        </w:rPr>
        <w:t>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119"/>
        <w:gridCol w:w="1651"/>
        <w:gridCol w:w="1885"/>
        <w:gridCol w:w="758"/>
        <w:gridCol w:w="758"/>
        <w:gridCol w:w="1119"/>
        <w:gridCol w:w="1119"/>
      </w:tblGrid>
      <w:tr w:rsidR="00465E67" w:rsidRPr="00250847" w:rsidTr="00164A04">
        <w:trPr>
          <w:trHeight w:val="700"/>
          <w:tblHeader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规格型号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生产厂家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计量</w:t>
            </w:r>
          </w:p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购置日期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465E67" w:rsidRPr="00250847" w:rsidRDefault="00465E67" w:rsidP="00164A0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50847">
              <w:rPr>
                <w:rFonts w:hint="eastAsia"/>
                <w:b/>
                <w:bCs/>
                <w:sz w:val="18"/>
                <w:szCs w:val="18"/>
              </w:rPr>
              <w:t>启用日期</w:t>
            </w:r>
          </w:p>
        </w:tc>
      </w:tr>
      <w:tr w:rsidR="00465E67" w:rsidRPr="00250847" w:rsidTr="00164A04">
        <w:trPr>
          <w:trHeight w:val="300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监控设备</w:t>
            </w:r>
          </w:p>
        </w:tc>
        <w:tc>
          <w:tcPr>
            <w:tcW w:w="1651" w:type="dxa"/>
            <w:shd w:val="clear" w:color="auto" w:fill="auto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昆明华旺科技有限公司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2019-04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2019-04</w:t>
            </w:r>
          </w:p>
        </w:tc>
      </w:tr>
      <w:tr w:rsidR="00465E67" w:rsidRPr="00250847" w:rsidTr="00164A04">
        <w:trPr>
          <w:trHeight w:val="300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办公家具</w:t>
            </w:r>
          </w:p>
        </w:tc>
        <w:tc>
          <w:tcPr>
            <w:tcW w:w="1651" w:type="dxa"/>
            <w:shd w:val="clear" w:color="auto" w:fill="auto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办公桌椅、会议桌、沙发、文件柜、铁床</w:t>
            </w:r>
          </w:p>
        </w:tc>
        <w:tc>
          <w:tcPr>
            <w:tcW w:w="1885" w:type="dxa"/>
            <w:shd w:val="clear" w:color="auto" w:fill="auto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祥云县鹏翔办公家具精品城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2018-11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2018-11</w:t>
            </w:r>
          </w:p>
        </w:tc>
      </w:tr>
      <w:tr w:rsidR="00465E67" w:rsidRPr="00250847" w:rsidTr="00164A04">
        <w:trPr>
          <w:trHeight w:val="300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打印机</w:t>
            </w:r>
          </w:p>
        </w:tc>
        <w:tc>
          <w:tcPr>
            <w:tcW w:w="1651" w:type="dxa"/>
            <w:shd w:val="clear" w:color="auto" w:fill="auto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HP126A</w:t>
            </w:r>
            <w:r w:rsidRPr="00250847">
              <w:rPr>
                <w:rFonts w:hint="eastAsia"/>
                <w:sz w:val="18"/>
                <w:szCs w:val="18"/>
              </w:rPr>
              <w:t>、</w:t>
            </w:r>
            <w:r w:rsidRPr="00250847">
              <w:rPr>
                <w:rFonts w:hint="eastAsia"/>
                <w:sz w:val="18"/>
                <w:szCs w:val="18"/>
              </w:rPr>
              <w:t>LQ-635KII</w:t>
            </w:r>
            <w:r w:rsidRPr="00250847">
              <w:rPr>
                <w:rFonts w:hint="eastAsia"/>
                <w:sz w:val="18"/>
                <w:szCs w:val="18"/>
              </w:rPr>
              <w:t>、</w:t>
            </w:r>
            <w:r w:rsidRPr="00250847">
              <w:rPr>
                <w:rFonts w:hint="eastAsia"/>
                <w:sz w:val="18"/>
                <w:szCs w:val="18"/>
              </w:rPr>
              <w:t>M132A</w:t>
            </w:r>
          </w:p>
        </w:tc>
        <w:tc>
          <w:tcPr>
            <w:tcW w:w="1885" w:type="dxa"/>
            <w:shd w:val="clear" w:color="auto" w:fill="auto"/>
          </w:tcPr>
          <w:p w:rsidR="00465E67" w:rsidRPr="00250847" w:rsidRDefault="00465E67" w:rsidP="00164A04">
            <w:pPr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大理市湘龙电脑经营部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2018-11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65E67" w:rsidRPr="00250847" w:rsidRDefault="00465E67" w:rsidP="00164A04">
            <w:pPr>
              <w:jc w:val="center"/>
              <w:rPr>
                <w:sz w:val="18"/>
                <w:szCs w:val="18"/>
              </w:rPr>
            </w:pPr>
            <w:r w:rsidRPr="00250847">
              <w:rPr>
                <w:rFonts w:hint="eastAsia"/>
                <w:sz w:val="18"/>
                <w:szCs w:val="18"/>
              </w:rPr>
              <w:t>2018-11</w:t>
            </w:r>
          </w:p>
        </w:tc>
      </w:tr>
    </w:tbl>
    <w:p w:rsidR="00465E67" w:rsidRPr="00D91118" w:rsidRDefault="00465E67" w:rsidP="00AB4278">
      <w:pPr>
        <w:pStyle w:val="zw"/>
        <w:snapToGrid w:val="0"/>
        <w:spacing w:beforeLines="50"/>
        <w:ind w:firstLineChars="200" w:firstLine="480"/>
        <w:rPr>
          <w:rFonts w:ascii="Times New Roman" w:eastAsia="宋体" w:hAnsi="Times New Roman"/>
          <w:bCs/>
          <w:kern w:val="2"/>
          <w:szCs w:val="24"/>
        </w:rPr>
      </w:pPr>
      <w:r w:rsidRPr="00250847">
        <w:rPr>
          <w:rFonts w:ascii="Times New Roman" w:eastAsia="宋体" w:hAnsi="Times New Roman" w:hint="eastAsia"/>
          <w:kern w:val="2"/>
          <w:szCs w:val="24"/>
        </w:rPr>
        <w:t>对于账外资产，</w:t>
      </w:r>
      <w:r w:rsidRPr="00250847">
        <w:rPr>
          <w:rFonts w:ascii="Times New Roman" w:eastAsia="宋体" w:hAnsi="Times New Roman"/>
          <w:kern w:val="2"/>
          <w:szCs w:val="24"/>
        </w:rPr>
        <w:t>评估人员</w:t>
      </w:r>
      <w:r w:rsidRPr="00250847">
        <w:rPr>
          <w:rFonts w:ascii="Times New Roman" w:eastAsia="宋体" w:hAnsi="Times New Roman" w:hint="eastAsia"/>
          <w:kern w:val="2"/>
          <w:szCs w:val="24"/>
        </w:rPr>
        <w:t>在核查权属后，根据资产的各自特点，并入相关资产科目中进行评估。</w:t>
      </w:r>
    </w:p>
    <w:p w:rsidR="00465E67" w:rsidRPr="00D91118" w:rsidRDefault="00465E67" w:rsidP="00465E67">
      <w:pPr>
        <w:pStyle w:val="a3"/>
        <w:spacing w:line="360" w:lineRule="auto"/>
        <w:ind w:firstLineChars="200" w:firstLine="480"/>
        <w:rPr>
          <w:rFonts w:ascii="Times New Roman"/>
          <w:sz w:val="24"/>
        </w:rPr>
      </w:pPr>
      <w:proofErr w:type="gramStart"/>
      <w:r w:rsidRPr="00D91118">
        <w:rPr>
          <w:rFonts w:ascii="Times New Roman"/>
          <w:sz w:val="24"/>
        </w:rPr>
        <w:t>本资产</w:t>
      </w:r>
      <w:proofErr w:type="gramEnd"/>
      <w:r w:rsidRPr="00D91118">
        <w:rPr>
          <w:rFonts w:ascii="Times New Roman"/>
          <w:sz w:val="24"/>
        </w:rPr>
        <w:t>评估报告仅为资产评估报告中描述的经济行为提供价值参考依据，评估结论的使用有效期原则上为自评估基准日起一年。如果资产状况、市场状况与</w:t>
      </w:r>
      <w:r w:rsidRPr="00D91118">
        <w:rPr>
          <w:rFonts w:ascii="Times New Roman"/>
          <w:sz w:val="24"/>
        </w:rPr>
        <w:lastRenderedPageBreak/>
        <w:t>评估基准</w:t>
      </w:r>
      <w:proofErr w:type="gramStart"/>
      <w:r w:rsidRPr="00D91118">
        <w:rPr>
          <w:rFonts w:ascii="Times New Roman"/>
          <w:sz w:val="24"/>
        </w:rPr>
        <w:t>日相关</w:t>
      </w:r>
      <w:proofErr w:type="gramEnd"/>
      <w:r w:rsidRPr="00D91118">
        <w:rPr>
          <w:rFonts w:ascii="Times New Roman"/>
          <w:sz w:val="24"/>
        </w:rPr>
        <w:t>状况相比发生重大变化，委托方应当委托评估机构执行评估更新业务或重新评估。</w:t>
      </w:r>
    </w:p>
    <w:p w:rsidR="00465E67" w:rsidRPr="00D91118" w:rsidRDefault="00465E67" w:rsidP="00465E67">
      <w:pPr>
        <w:spacing w:line="360" w:lineRule="auto"/>
        <w:ind w:firstLineChars="200" w:firstLine="480"/>
        <w:rPr>
          <w:sz w:val="24"/>
        </w:rPr>
      </w:pPr>
      <w:r w:rsidRPr="00D91118">
        <w:rPr>
          <w:sz w:val="24"/>
        </w:rPr>
        <w:t>以上内容摘自资产评估报告正文，欲了解本评估业务的详细情况和正确理解评估结论，应当阅读资产评估报告正文。</w:t>
      </w:r>
    </w:p>
    <w:p w:rsidR="00DB4D52" w:rsidRPr="00465E67" w:rsidRDefault="00DB4D52" w:rsidP="00465E67"/>
    <w:sectPr w:rsidR="00DB4D52" w:rsidRPr="00465E67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30" w:rsidRDefault="00423230" w:rsidP="00AD7AA7">
      <w:r>
        <w:separator/>
      </w:r>
    </w:p>
  </w:endnote>
  <w:endnote w:type="continuationSeparator" w:id="1">
    <w:p w:rsidR="00423230" w:rsidRDefault="00423230" w:rsidP="00AD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30" w:rsidRDefault="00423230" w:rsidP="00AD7AA7">
      <w:r>
        <w:separator/>
      </w:r>
    </w:p>
  </w:footnote>
  <w:footnote w:type="continuationSeparator" w:id="1">
    <w:p w:rsidR="00423230" w:rsidRDefault="00423230" w:rsidP="00AD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ABF60"/>
    <w:multiLevelType w:val="singleLevel"/>
    <w:tmpl w:val="846ABF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A6"/>
    <w:rsid w:val="000E16F8"/>
    <w:rsid w:val="00285E8B"/>
    <w:rsid w:val="00381873"/>
    <w:rsid w:val="00423230"/>
    <w:rsid w:val="00465E67"/>
    <w:rsid w:val="004B142D"/>
    <w:rsid w:val="006812F9"/>
    <w:rsid w:val="007A2548"/>
    <w:rsid w:val="008B5548"/>
    <w:rsid w:val="008D52A6"/>
    <w:rsid w:val="009317D0"/>
    <w:rsid w:val="00A565CC"/>
    <w:rsid w:val="00AB4278"/>
    <w:rsid w:val="00AD7AA7"/>
    <w:rsid w:val="00DB4D52"/>
    <w:rsid w:val="00EB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D7AA7"/>
    <w:pPr>
      <w:keepNext/>
      <w:keepLines/>
      <w:adjustRightInd w:val="0"/>
      <w:spacing w:before="340" w:after="330" w:line="578" w:lineRule="atLeast"/>
      <w:ind w:firstLine="425"/>
      <w:textAlignment w:val="baseline"/>
      <w:outlineLvl w:val="0"/>
    </w:pPr>
    <w:rPr>
      <w:rFonts w:eastAsia="黑体"/>
      <w:b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AD7AA7"/>
    <w:pPr>
      <w:keepNext/>
      <w:keepLines/>
      <w:adjustRightInd w:val="0"/>
      <w:spacing w:before="260" w:after="260" w:line="416" w:lineRule="atLeast"/>
      <w:ind w:firstLine="425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正文2级,表正文,正文非缩进,特点,正文缩进William,ALT+Z,标题4,正文（首行缩进两字） Char,正文（首行缩进两字） Char Char Char Char,正文（首行缩进两字） Char Char Char Char Char Char,正文缩进1,表正文1,正文非缩进1,正文缩进William1,特点1,ALT+Z1,标题41,正文（首行缩进两字） Char1 Char Char Char,段1,±íÕýÎÄ,ÕýÎÄ·ÇËõ½ø,正文对齐,Alt+X,mr正文缩进,水上"/>
    <w:basedOn w:val="a"/>
    <w:link w:val="Char"/>
    <w:qFormat/>
    <w:rsid w:val="008D52A6"/>
    <w:pPr>
      <w:autoSpaceDE w:val="0"/>
      <w:autoSpaceDN w:val="0"/>
      <w:adjustRightInd w:val="0"/>
      <w:ind w:firstLine="420"/>
      <w:textAlignment w:val="baseline"/>
    </w:pPr>
    <w:rPr>
      <w:rFonts w:ascii="宋体"/>
      <w:kern w:val="0"/>
      <w:szCs w:val="20"/>
    </w:rPr>
  </w:style>
  <w:style w:type="character" w:customStyle="1" w:styleId="Char">
    <w:name w:val="正文缩进 Char"/>
    <w:aliases w:val="正文2级 Char,表正文 Char,正文非缩进 Char,特点 Char,正文缩进William Char,ALT+Z Char,标题4 Char,正文（首行缩进两字） Char Char,正文（首行缩进两字） Char Char Char Char Char,正文（首行缩进两字） Char Char Char Char Char Char Char,正文缩进1 Char,表正文1 Char,正文非缩进1 Char,正文缩进William1 Char,特点1 Char"/>
    <w:link w:val="a3"/>
    <w:qFormat/>
    <w:rsid w:val="008D52A6"/>
    <w:rPr>
      <w:rFonts w:ascii="宋体" w:eastAsia="宋体" w:hAnsi="Times New Roman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D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7A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7AA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AD7AA7"/>
    <w:rPr>
      <w:rFonts w:ascii="Times New Roman" w:eastAsia="黑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qFormat/>
    <w:rsid w:val="00AD7AA7"/>
    <w:rPr>
      <w:rFonts w:ascii="Arial" w:eastAsia="黑体" w:hAnsi="Arial" w:cs="Times New Roman"/>
      <w:b/>
      <w:kern w:val="0"/>
      <w:sz w:val="32"/>
      <w:szCs w:val="20"/>
    </w:rPr>
  </w:style>
  <w:style w:type="character" w:styleId="a6">
    <w:name w:val="Hyperlink"/>
    <w:uiPriority w:val="99"/>
    <w:qFormat/>
    <w:rsid w:val="00AD7AA7"/>
    <w:rPr>
      <w:color w:val="0000FF"/>
      <w:u w:val="single"/>
    </w:rPr>
  </w:style>
  <w:style w:type="character" w:customStyle="1" w:styleId="Char10">
    <w:name w:val="正文缩进 Char1"/>
    <w:qFormat/>
    <w:rsid w:val="00AD7AA7"/>
    <w:rPr>
      <w:sz w:val="24"/>
    </w:rPr>
  </w:style>
  <w:style w:type="paragraph" w:styleId="a7">
    <w:name w:val="Body Text Indent"/>
    <w:basedOn w:val="a"/>
    <w:link w:val="Char11"/>
    <w:qFormat/>
    <w:rsid w:val="00465E67"/>
    <w:pPr>
      <w:autoSpaceDE w:val="0"/>
      <w:autoSpaceDN w:val="0"/>
      <w:adjustRightInd w:val="0"/>
      <w:spacing w:before="120" w:line="312" w:lineRule="atLeast"/>
      <w:jc w:val="left"/>
      <w:textAlignment w:val="baseline"/>
    </w:pPr>
    <w:rPr>
      <w:rFonts w:ascii="楷体_GB2312" w:eastAsia="楷体_GB2312"/>
      <w:kern w:val="0"/>
      <w:sz w:val="28"/>
      <w:szCs w:val="20"/>
    </w:rPr>
  </w:style>
  <w:style w:type="character" w:customStyle="1" w:styleId="Char2">
    <w:name w:val="正文文本缩进 Char"/>
    <w:basedOn w:val="a0"/>
    <w:link w:val="a7"/>
    <w:uiPriority w:val="99"/>
    <w:semiHidden/>
    <w:rsid w:val="00465E67"/>
    <w:rPr>
      <w:rFonts w:ascii="Times New Roman" w:eastAsia="宋体" w:hAnsi="Times New Roman" w:cs="Times New Roman"/>
      <w:szCs w:val="24"/>
    </w:rPr>
  </w:style>
  <w:style w:type="paragraph" w:customStyle="1" w:styleId="zw">
    <w:name w:val="zw"/>
    <w:basedOn w:val="a"/>
    <w:link w:val="zwChar"/>
    <w:qFormat/>
    <w:rsid w:val="00465E67"/>
    <w:pPr>
      <w:autoSpaceDE w:val="0"/>
      <w:autoSpaceDN w:val="0"/>
      <w:adjustRightInd w:val="0"/>
      <w:spacing w:line="360" w:lineRule="auto"/>
      <w:ind w:firstLine="482"/>
      <w:textAlignment w:val="bottom"/>
    </w:pPr>
    <w:rPr>
      <w:rFonts w:ascii="Arial Narrow" w:eastAsia="幼圆" w:hAnsi="Arial Narrow"/>
      <w:kern w:val="0"/>
      <w:sz w:val="24"/>
      <w:szCs w:val="20"/>
    </w:rPr>
  </w:style>
  <w:style w:type="character" w:customStyle="1" w:styleId="zwChar">
    <w:name w:val="zw Char"/>
    <w:link w:val="zw"/>
    <w:qFormat/>
    <w:rsid w:val="00465E67"/>
    <w:rPr>
      <w:rFonts w:ascii="Arial Narrow" w:eastAsia="幼圆" w:hAnsi="Arial Narrow" w:cs="Times New Roman"/>
      <w:kern w:val="0"/>
      <w:sz w:val="24"/>
      <w:szCs w:val="20"/>
    </w:rPr>
  </w:style>
  <w:style w:type="character" w:customStyle="1" w:styleId="Char11">
    <w:name w:val="正文文本缩进 Char1"/>
    <w:link w:val="a7"/>
    <w:rsid w:val="00465E67"/>
    <w:rPr>
      <w:rFonts w:ascii="楷体_GB2312" w:eastAsia="楷体_GB2312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董丽彬</cp:lastModifiedBy>
  <cp:revision>6</cp:revision>
  <dcterms:created xsi:type="dcterms:W3CDTF">2019-12-24T01:24:00Z</dcterms:created>
  <dcterms:modified xsi:type="dcterms:W3CDTF">2020-05-27T03:45:00Z</dcterms:modified>
</cp:coreProperties>
</file>